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876" w:rsidRDefault="00442876" w:rsidP="00925525">
      <w:pPr>
        <w:autoSpaceDE w:val="0"/>
        <w:autoSpaceDN w:val="0"/>
        <w:adjustRightInd w:val="0"/>
        <w:spacing w:after="0" w:line="240" w:lineRule="auto"/>
        <w:rPr>
          <w:rFonts w:ascii="Garamond" w:hAnsi="Garamond" w:cs="TimesNewRomanPSMT"/>
          <w:color w:val="000000"/>
          <w:sz w:val="28"/>
          <w:szCs w:val="28"/>
        </w:rPr>
      </w:pPr>
      <w:bookmarkStart w:id="0" w:name="_GoBack"/>
      <w:bookmarkEnd w:id="0"/>
      <w:r>
        <w:rPr>
          <w:noProof/>
        </w:rPr>
        <w:drawing>
          <wp:anchor distT="0" distB="0" distL="114300" distR="114300" simplePos="0" relativeHeight="251659264" behindDoc="1" locked="0" layoutInCell="1" allowOverlap="1" wp14:anchorId="75781A6B" wp14:editId="1B9A6E30">
            <wp:simplePos x="0" y="0"/>
            <wp:positionH relativeFrom="margin">
              <wp:posOffset>1682750</wp:posOffset>
            </wp:positionH>
            <wp:positionV relativeFrom="paragraph">
              <wp:posOffset>-704850</wp:posOffset>
            </wp:positionV>
            <wp:extent cx="2059383" cy="1200150"/>
            <wp:effectExtent l="0" t="0" r="0" b="0"/>
            <wp:wrapNone/>
            <wp:docPr id="1" name="Picture 1" descr="http://brand.pages.tcnj.edu/files/2014/04/TCNJ_Logo_Two-Color-Blue_Gol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pages.tcnj.edu/files/2014/04/TCNJ_Logo_Two-Color-Blue_Gold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383"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76" w:rsidRDefault="00442876" w:rsidP="00925525">
      <w:pPr>
        <w:autoSpaceDE w:val="0"/>
        <w:autoSpaceDN w:val="0"/>
        <w:adjustRightInd w:val="0"/>
        <w:spacing w:after="0" w:line="240" w:lineRule="auto"/>
        <w:rPr>
          <w:rFonts w:ascii="Garamond" w:hAnsi="Garamond" w:cs="TimesNewRomanPSMT"/>
          <w:color w:val="000000"/>
          <w:sz w:val="28"/>
          <w:szCs w:val="28"/>
        </w:rPr>
      </w:pPr>
    </w:p>
    <w:p w:rsidR="003831CB" w:rsidRDefault="003831CB" w:rsidP="00E57654">
      <w:pPr>
        <w:autoSpaceDE w:val="0"/>
        <w:autoSpaceDN w:val="0"/>
        <w:adjustRightInd w:val="0"/>
        <w:spacing w:after="0" w:line="240" w:lineRule="auto"/>
        <w:rPr>
          <w:rFonts w:ascii="Garamond" w:hAnsi="Garamond" w:cs="Verdana"/>
          <w:b/>
          <w:bCs/>
          <w:color w:val="002060"/>
          <w:sz w:val="24"/>
          <w:szCs w:val="24"/>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Budget Management</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The Office of the Treasurer is responsible for facilitating the annual budget process and for overseeing budget management throughout the year. Partnering with the President and Cabinet, the Treasurer’s Office allocates budgetary resources while upholding the College financial policies.  Divisions and their departments are responsible for identifying resources needed to achieve the goals set forth in their strategic plans. </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The Office of the Treasurer budgetary responsibilities include:</w:t>
      </w:r>
    </w:p>
    <w:p w:rsidR="00E57654" w:rsidRPr="00A2166F" w:rsidRDefault="00E57654" w:rsidP="00682746">
      <w:pPr>
        <w:pStyle w:val="ListParagraph"/>
        <w:numPr>
          <w:ilvl w:val="0"/>
          <w:numId w:val="9"/>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Prepare the annual budget submission to the State of New Jersey</w:t>
      </w:r>
    </w:p>
    <w:p w:rsidR="00E57654" w:rsidRPr="00A2166F" w:rsidRDefault="00E57654" w:rsidP="00682746">
      <w:pPr>
        <w:pStyle w:val="ListParagraph"/>
        <w:numPr>
          <w:ilvl w:val="0"/>
          <w:numId w:val="9"/>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Support the President, Cabinet and Board of Trustees on budget matters</w:t>
      </w:r>
    </w:p>
    <w:p w:rsidR="00E57654" w:rsidRPr="00A2166F" w:rsidRDefault="00E57654" w:rsidP="00682746">
      <w:pPr>
        <w:pStyle w:val="ListParagraph"/>
        <w:numPr>
          <w:ilvl w:val="0"/>
          <w:numId w:val="9"/>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Develop and monitor the College's annual budget</w:t>
      </w:r>
    </w:p>
    <w:p w:rsidR="00E57654" w:rsidRPr="00A2166F" w:rsidRDefault="00E57654" w:rsidP="00682746">
      <w:pPr>
        <w:pStyle w:val="ListParagraph"/>
        <w:numPr>
          <w:ilvl w:val="0"/>
          <w:numId w:val="9"/>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Link </w:t>
      </w:r>
      <w:r w:rsidR="00424C75" w:rsidRPr="00A2166F">
        <w:rPr>
          <w:rFonts w:ascii="Garamond" w:hAnsi="Garamond" w:cs="Verdana"/>
          <w:color w:val="000000"/>
          <w:sz w:val="28"/>
          <w:szCs w:val="28"/>
        </w:rPr>
        <w:t xml:space="preserve">resource allocation to the </w:t>
      </w:r>
      <w:r w:rsidRPr="00A2166F">
        <w:rPr>
          <w:rFonts w:ascii="Garamond" w:hAnsi="Garamond" w:cs="Verdana"/>
          <w:color w:val="000000"/>
          <w:sz w:val="28"/>
          <w:szCs w:val="28"/>
        </w:rPr>
        <w:t>College</w:t>
      </w:r>
      <w:r w:rsidR="00424C75" w:rsidRPr="00A2166F">
        <w:rPr>
          <w:rFonts w:ascii="Garamond" w:hAnsi="Garamond" w:cs="Verdana"/>
          <w:color w:val="000000"/>
          <w:sz w:val="28"/>
          <w:szCs w:val="28"/>
        </w:rPr>
        <w:t>’s</w:t>
      </w:r>
      <w:r w:rsidRPr="00A2166F">
        <w:rPr>
          <w:rFonts w:ascii="Garamond" w:hAnsi="Garamond" w:cs="Verdana"/>
          <w:color w:val="000000"/>
          <w:sz w:val="28"/>
          <w:szCs w:val="28"/>
        </w:rPr>
        <w:t xml:space="preserve"> </w:t>
      </w:r>
      <w:r w:rsidR="00424C75" w:rsidRPr="00A2166F">
        <w:rPr>
          <w:rFonts w:ascii="Garamond" w:hAnsi="Garamond" w:cs="Verdana"/>
          <w:color w:val="000000"/>
          <w:sz w:val="28"/>
          <w:szCs w:val="28"/>
        </w:rPr>
        <w:t>S</w:t>
      </w:r>
      <w:r w:rsidRPr="00A2166F">
        <w:rPr>
          <w:rFonts w:ascii="Garamond" w:hAnsi="Garamond" w:cs="Verdana"/>
          <w:color w:val="000000"/>
          <w:sz w:val="28"/>
          <w:szCs w:val="28"/>
        </w:rPr>
        <w:t xml:space="preserve">trategic </w:t>
      </w:r>
      <w:r w:rsidR="00424C75" w:rsidRPr="00A2166F">
        <w:rPr>
          <w:rFonts w:ascii="Garamond" w:hAnsi="Garamond" w:cs="Verdana"/>
          <w:color w:val="000000"/>
          <w:sz w:val="28"/>
          <w:szCs w:val="28"/>
        </w:rPr>
        <w:t>P</w:t>
      </w:r>
      <w:r w:rsidRPr="00A2166F">
        <w:rPr>
          <w:rFonts w:ascii="Garamond" w:hAnsi="Garamond" w:cs="Verdana"/>
          <w:color w:val="000000"/>
          <w:sz w:val="28"/>
          <w:szCs w:val="28"/>
        </w:rPr>
        <w:t>lan</w:t>
      </w:r>
    </w:p>
    <w:p w:rsidR="00682746" w:rsidRPr="00A2166F" w:rsidRDefault="00E57654" w:rsidP="00682746">
      <w:pPr>
        <w:pStyle w:val="ListParagraph"/>
        <w:numPr>
          <w:ilvl w:val="0"/>
          <w:numId w:val="9"/>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Approve budget transfers and funding requests for new initiatives</w:t>
      </w:r>
    </w:p>
    <w:p w:rsidR="00E57654" w:rsidRPr="00A2166F" w:rsidRDefault="00E57654" w:rsidP="00682746">
      <w:pPr>
        <w:pStyle w:val="ListParagraph"/>
        <w:numPr>
          <w:ilvl w:val="0"/>
          <w:numId w:val="9"/>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Provide </w:t>
      </w:r>
      <w:r w:rsidR="00424C75" w:rsidRPr="00A2166F">
        <w:rPr>
          <w:rFonts w:ascii="Garamond" w:hAnsi="Garamond" w:cs="Verdana"/>
          <w:color w:val="000000"/>
          <w:sz w:val="28"/>
          <w:szCs w:val="28"/>
        </w:rPr>
        <w:t xml:space="preserve">financial </w:t>
      </w:r>
      <w:r w:rsidRPr="00A2166F">
        <w:rPr>
          <w:rFonts w:ascii="Garamond" w:hAnsi="Garamond" w:cs="Verdana"/>
          <w:color w:val="000000"/>
          <w:sz w:val="28"/>
          <w:szCs w:val="28"/>
        </w:rPr>
        <w:t xml:space="preserve">web reports on </w:t>
      </w:r>
      <w:r w:rsidR="00424C75" w:rsidRPr="00A2166F">
        <w:rPr>
          <w:rFonts w:ascii="Garamond" w:hAnsi="Garamond" w:cs="Verdana"/>
          <w:color w:val="000000"/>
          <w:sz w:val="28"/>
          <w:szCs w:val="28"/>
        </w:rPr>
        <w:t xml:space="preserve">budgets versus </w:t>
      </w:r>
      <w:r w:rsidRPr="00A2166F">
        <w:rPr>
          <w:rFonts w:ascii="Garamond" w:hAnsi="Garamond" w:cs="Verdana"/>
          <w:color w:val="000000"/>
          <w:sz w:val="28"/>
          <w:szCs w:val="28"/>
        </w:rPr>
        <w:t>actuals to the campus community</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BUDGET CYCLE</w:t>
      </w:r>
    </w:p>
    <w:p w:rsidR="00E57654" w:rsidRPr="00A2166F" w:rsidRDefault="00E57654" w:rsidP="00A40987">
      <w:pPr>
        <w:autoSpaceDE w:val="0"/>
        <w:autoSpaceDN w:val="0"/>
        <w:adjustRightInd w:val="0"/>
        <w:spacing w:after="0" w:line="240" w:lineRule="auto"/>
        <w:ind w:firstLine="720"/>
        <w:rPr>
          <w:rFonts w:ascii="Garamond" w:hAnsi="Garamond" w:cs="Verdana"/>
          <w:b/>
          <w:bCs/>
          <w:color w:val="00206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Cycle Overview</w:t>
      </w:r>
    </w:p>
    <w:p w:rsidR="00E57654" w:rsidRPr="00A2166F" w:rsidRDefault="00E57654" w:rsidP="00E57654">
      <w:pPr>
        <w:autoSpaceDE w:val="0"/>
        <w:autoSpaceDN w:val="0"/>
        <w:adjustRightInd w:val="0"/>
        <w:spacing w:after="0" w:line="240" w:lineRule="auto"/>
        <w:rPr>
          <w:rFonts w:ascii="Garamond" w:hAnsi="Garamond" w:cs="Verdana"/>
          <w:sz w:val="28"/>
          <w:szCs w:val="28"/>
        </w:rPr>
      </w:pPr>
      <w:r w:rsidRPr="00A2166F">
        <w:rPr>
          <w:rFonts w:ascii="Garamond" w:hAnsi="Garamond" w:cs="Verdana"/>
          <w:sz w:val="28"/>
          <w:szCs w:val="28"/>
        </w:rPr>
        <w:t xml:space="preserve">The College’s operating budget is developed annually starting with the </w:t>
      </w:r>
      <w:r w:rsidRPr="00A2166F">
        <w:rPr>
          <w:rFonts w:ascii="Garamond" w:hAnsi="Garamond" w:cs="Verdana"/>
          <w:b/>
          <w:bCs/>
          <w:sz w:val="28"/>
          <w:szCs w:val="28"/>
        </w:rPr>
        <w:t>State Budget Submission</w:t>
      </w:r>
      <w:r w:rsidRPr="00A2166F">
        <w:rPr>
          <w:rFonts w:ascii="Garamond" w:hAnsi="Garamond" w:cs="Verdana"/>
          <w:sz w:val="28"/>
          <w:szCs w:val="28"/>
        </w:rPr>
        <w:t xml:space="preserve">, followed by the annual </w:t>
      </w:r>
      <w:r w:rsidRPr="00A2166F">
        <w:rPr>
          <w:rFonts w:ascii="Garamond" w:hAnsi="Garamond" w:cs="Verdana"/>
          <w:b/>
          <w:bCs/>
          <w:sz w:val="28"/>
          <w:szCs w:val="28"/>
        </w:rPr>
        <w:t xml:space="preserve">Budget Memo. </w:t>
      </w:r>
      <w:r w:rsidRPr="00A2166F">
        <w:rPr>
          <w:rFonts w:ascii="Garamond" w:hAnsi="Garamond" w:cs="Verdana"/>
          <w:sz w:val="28"/>
          <w:szCs w:val="28"/>
        </w:rPr>
        <w:t xml:space="preserve">The approved budget exists for the duration of a </w:t>
      </w:r>
      <w:r w:rsidRPr="00A2166F">
        <w:rPr>
          <w:rFonts w:ascii="Garamond" w:hAnsi="Garamond" w:cs="Verdana"/>
          <w:b/>
          <w:bCs/>
          <w:sz w:val="28"/>
          <w:szCs w:val="28"/>
        </w:rPr>
        <w:t>fiscal year</w:t>
      </w:r>
      <w:r w:rsidRPr="00A2166F">
        <w:rPr>
          <w:rFonts w:ascii="Garamond" w:hAnsi="Garamond" w:cs="Verdana"/>
          <w:sz w:val="28"/>
          <w:szCs w:val="28"/>
        </w:rPr>
        <w:t>, July 1 to June 30. Budgets are monitored throughout the fiscal year by division budget managers and the Office of the Treasurer.</w:t>
      </w:r>
      <w:r w:rsidR="00A40987" w:rsidRPr="00A2166F">
        <w:rPr>
          <w:rFonts w:ascii="Garamond" w:hAnsi="Garamond" w:cs="Verdana"/>
          <w:sz w:val="28"/>
          <w:szCs w:val="28"/>
        </w:rPr>
        <w:t xml:space="preserve">  </w:t>
      </w:r>
    </w:p>
    <w:p w:rsidR="00E57654" w:rsidRDefault="00B71A02" w:rsidP="00E57654">
      <w:pPr>
        <w:autoSpaceDE w:val="0"/>
        <w:autoSpaceDN w:val="0"/>
        <w:adjustRightInd w:val="0"/>
        <w:spacing w:after="0" w:line="240" w:lineRule="auto"/>
        <w:rPr>
          <w:rFonts w:ascii="Garamond" w:hAnsi="Garamond" w:cs="Times New Roman"/>
          <w:color w:val="0000FF"/>
          <w:sz w:val="28"/>
          <w:szCs w:val="28"/>
        </w:rPr>
      </w:pPr>
      <w:hyperlink r:id="rId8" w:history="1">
        <w:r w:rsidR="00EE4C12" w:rsidRPr="00EE4C12">
          <w:rPr>
            <w:rStyle w:val="Hyperlink"/>
            <w:rFonts w:ascii="Garamond" w:hAnsi="Garamond" w:cs="Times New Roman"/>
            <w:sz w:val="28"/>
            <w:szCs w:val="28"/>
          </w:rPr>
          <w:t>https://treasurer.tcnj.edu/wp-content/uploads/sites/90/2018/09/TCNJ-Budget-timeline-Aug-2018-PDF-1.pdf</w:t>
        </w:r>
      </w:hyperlink>
    </w:p>
    <w:p w:rsidR="00EE4C12" w:rsidRPr="00A2166F" w:rsidRDefault="00EE4C12" w:rsidP="00E57654">
      <w:pPr>
        <w:autoSpaceDE w:val="0"/>
        <w:autoSpaceDN w:val="0"/>
        <w:adjustRightInd w:val="0"/>
        <w:spacing w:after="0" w:line="240" w:lineRule="auto"/>
        <w:rPr>
          <w:rFonts w:ascii="Garamond" w:hAnsi="Garamond" w:cs="Verdana"/>
          <w:b/>
          <w:bCs/>
          <w:color w:val="00206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State Budget Submission</w:t>
      </w:r>
    </w:p>
    <w:p w:rsidR="00A40987"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Every year, TCNJ is required to submit its annual budget request to the State of New Jersey, Office of Management and Budget (OMB). Preparation for the budget request begins in the fall and is typically submitted to the State in November. Following a review by the OMB, the Governor presents the proposed State budget to the State Legislature in January. The State Legislature approves the State budget, including the appropriation for higher education, prior to the beginning of the fiscal year. The budget request format is dictated by the State and includes actual results from the </w:t>
      </w:r>
      <w:r w:rsidRPr="00A2166F">
        <w:rPr>
          <w:rFonts w:ascii="Garamond" w:hAnsi="Garamond" w:cs="Verdana"/>
          <w:color w:val="000000"/>
          <w:sz w:val="28"/>
          <w:szCs w:val="28"/>
        </w:rPr>
        <w:lastRenderedPageBreak/>
        <w:t xml:space="preserve">prior year, revised budgets for the current fiscal year and projections for the next fiscal year. </w:t>
      </w:r>
    </w:p>
    <w:p w:rsidR="00A40987" w:rsidRPr="00A2166F" w:rsidRDefault="00A40987"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The submission also includes the following requirements:</w:t>
      </w:r>
    </w:p>
    <w:p w:rsidR="00E57654" w:rsidRPr="00A2166F" w:rsidRDefault="00E57654" w:rsidP="00E57654">
      <w:pPr>
        <w:pStyle w:val="ListParagraph"/>
        <w:numPr>
          <w:ilvl w:val="0"/>
          <w:numId w:val="6"/>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President's Overview, highlighting key accomplishments and major changes, and advocating for funding needed to further the institution’s mission</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Financial Summary, which summarizes revenues, expenditures and transfers</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Organization Charts</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Tuition and Fee Projections</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Programmatic Information, such as enrollment, expenditures and salary data</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Budget initiative requests for additional </w:t>
      </w:r>
      <w:r w:rsidR="008864F1" w:rsidRPr="00A2166F">
        <w:rPr>
          <w:rFonts w:ascii="Garamond" w:hAnsi="Garamond" w:cs="Verdana"/>
          <w:color w:val="000000"/>
          <w:sz w:val="28"/>
          <w:szCs w:val="28"/>
        </w:rPr>
        <w:t>s</w:t>
      </w:r>
      <w:r w:rsidRPr="00A2166F">
        <w:rPr>
          <w:rFonts w:ascii="Garamond" w:hAnsi="Garamond" w:cs="Verdana"/>
          <w:color w:val="000000"/>
          <w:sz w:val="28"/>
          <w:szCs w:val="28"/>
        </w:rPr>
        <w:t>tate funding</w:t>
      </w:r>
    </w:p>
    <w:p w:rsidR="006D634E" w:rsidRPr="00A2166F" w:rsidRDefault="006D634E" w:rsidP="00E57654">
      <w:pPr>
        <w:autoSpaceDE w:val="0"/>
        <w:autoSpaceDN w:val="0"/>
        <w:adjustRightInd w:val="0"/>
        <w:spacing w:after="0" w:line="240" w:lineRule="auto"/>
        <w:rPr>
          <w:rFonts w:ascii="Garamond" w:hAnsi="Garamond" w:cs="Verdana"/>
          <w:b/>
          <w:bCs/>
          <w:color w:val="00206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Budget Memo – Annual Budget Development Process</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Each spring, divisions and departments across the College submit budgets for the coming fiscal year, based on the guidelines in the </w:t>
      </w:r>
      <w:r w:rsidRPr="00A2166F">
        <w:rPr>
          <w:rFonts w:ascii="Garamond" w:hAnsi="Garamond" w:cs="Verdana"/>
          <w:b/>
          <w:color w:val="000000"/>
          <w:sz w:val="28"/>
          <w:szCs w:val="28"/>
        </w:rPr>
        <w:t>Budget Memo</w:t>
      </w:r>
      <w:r w:rsidRPr="00A2166F">
        <w:rPr>
          <w:rFonts w:ascii="Garamond" w:hAnsi="Garamond" w:cs="Verdana"/>
          <w:color w:val="000000"/>
          <w:sz w:val="28"/>
          <w:szCs w:val="28"/>
        </w:rPr>
        <w:t xml:space="preserve">. Budgets requests are subject to approval by the Deans, Vice Presidents, Treasurer and President. </w:t>
      </w:r>
    </w:p>
    <w:p w:rsidR="000B6AB7" w:rsidRDefault="00B71A02" w:rsidP="00E57654">
      <w:pPr>
        <w:autoSpaceDE w:val="0"/>
        <w:autoSpaceDN w:val="0"/>
        <w:adjustRightInd w:val="0"/>
        <w:spacing w:after="0" w:line="240" w:lineRule="auto"/>
        <w:rPr>
          <w:rFonts w:ascii="Garamond" w:hAnsi="Garamond" w:cs="Verdana"/>
          <w:color w:val="000000"/>
          <w:sz w:val="28"/>
          <w:szCs w:val="28"/>
        </w:rPr>
      </w:pPr>
      <w:hyperlink r:id="rId9" w:history="1">
        <w:r w:rsidR="00433CFD" w:rsidRPr="00865694">
          <w:rPr>
            <w:rStyle w:val="Hyperlink"/>
            <w:rFonts w:ascii="Garamond" w:hAnsi="Garamond" w:cs="Verdana"/>
            <w:sz w:val="28"/>
            <w:szCs w:val="28"/>
          </w:rPr>
          <w:t>http://treasurer.tcnj.edu/wp-content/uploads/sites/90/2019/02/FY2020-Campus-Budget-Communication.pdf</w:t>
        </w:r>
      </w:hyperlink>
    </w:p>
    <w:p w:rsidR="00433CFD" w:rsidRPr="00A2166F" w:rsidRDefault="00433CFD" w:rsidP="00E57654">
      <w:pPr>
        <w:autoSpaceDE w:val="0"/>
        <w:autoSpaceDN w:val="0"/>
        <w:adjustRightInd w:val="0"/>
        <w:spacing w:after="0" w:line="240" w:lineRule="auto"/>
        <w:rPr>
          <w:rFonts w:ascii="Garamond" w:hAnsi="Garamond" w:cs="Verdana"/>
          <w:color w:val="000000"/>
          <w:sz w:val="28"/>
          <w:szCs w:val="28"/>
        </w:rPr>
      </w:pPr>
    </w:p>
    <w:p w:rsidR="00A40987" w:rsidRPr="00A2166F" w:rsidRDefault="00A40987" w:rsidP="00E57654">
      <w:pPr>
        <w:autoSpaceDE w:val="0"/>
        <w:autoSpaceDN w:val="0"/>
        <w:adjustRightInd w:val="0"/>
        <w:spacing w:after="0" w:line="240" w:lineRule="auto"/>
        <w:rPr>
          <w:rFonts w:ascii="Garamond" w:hAnsi="Garamond" w:cs="Verdana"/>
          <w:b/>
          <w:bCs/>
          <w:color w:val="1F4E79" w:themeColor="accent1" w:themeShade="8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ANNUAL BUDGET PROCESS &amp; GUIDELINES</w:t>
      </w: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Process Overview</w:t>
      </w:r>
    </w:p>
    <w:p w:rsidR="00E57654" w:rsidRPr="00A2166F" w:rsidRDefault="00E57654" w:rsidP="00E57654">
      <w:pPr>
        <w:autoSpaceDE w:val="0"/>
        <w:autoSpaceDN w:val="0"/>
        <w:adjustRightInd w:val="0"/>
        <w:spacing w:after="0" w:line="240" w:lineRule="auto"/>
        <w:rPr>
          <w:rFonts w:ascii="Garamond" w:hAnsi="Garamond" w:cs="Verdana"/>
          <w:sz w:val="28"/>
          <w:szCs w:val="28"/>
        </w:rPr>
      </w:pPr>
      <w:r w:rsidRPr="00A2166F">
        <w:rPr>
          <w:rFonts w:ascii="Garamond" w:hAnsi="Garamond" w:cs="Verdana"/>
          <w:color w:val="000000"/>
          <w:sz w:val="28"/>
          <w:szCs w:val="28"/>
        </w:rPr>
        <w:t>Pending the Governor’s announcement of preliminary State appropriations, TCNJ</w:t>
      </w:r>
      <w:r w:rsidRPr="00A2166F">
        <w:rPr>
          <w:rFonts w:ascii="Garamond" w:hAnsi="Garamond" w:cs="Verdana"/>
          <w:sz w:val="28"/>
          <w:szCs w:val="28"/>
        </w:rPr>
        <w:t xml:space="preserve"> begins its internal budget development process on or about February </w:t>
      </w:r>
      <w:r w:rsidR="008864F1" w:rsidRPr="00A2166F">
        <w:rPr>
          <w:rFonts w:ascii="Garamond" w:hAnsi="Garamond" w:cs="Verdana"/>
          <w:sz w:val="28"/>
          <w:szCs w:val="28"/>
        </w:rPr>
        <w:t>each year</w:t>
      </w:r>
      <w:r w:rsidRPr="00A2166F">
        <w:rPr>
          <w:rFonts w:ascii="Garamond" w:hAnsi="Garamond" w:cs="Verdana"/>
          <w:sz w:val="28"/>
          <w:szCs w:val="28"/>
        </w:rPr>
        <w:t xml:space="preserve">.  The Treasurer distributes a memorandum of guidelines and deadlines to the TCNJ community </w:t>
      </w:r>
      <w:r w:rsidR="008864F1" w:rsidRPr="00A2166F">
        <w:rPr>
          <w:rFonts w:ascii="Garamond" w:hAnsi="Garamond" w:cs="Verdana"/>
          <w:sz w:val="28"/>
          <w:szCs w:val="28"/>
        </w:rPr>
        <w:t>which</w:t>
      </w:r>
      <w:r w:rsidRPr="00A2166F">
        <w:rPr>
          <w:rFonts w:ascii="Garamond" w:hAnsi="Garamond" w:cs="Verdana"/>
          <w:sz w:val="28"/>
          <w:szCs w:val="28"/>
        </w:rPr>
        <w:t xml:space="preserve"> includes: </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sz w:val="28"/>
          <w:szCs w:val="28"/>
        </w:rPr>
      </w:pPr>
      <w:r w:rsidRPr="00A2166F">
        <w:rPr>
          <w:rFonts w:ascii="Garamond" w:hAnsi="Garamond" w:cs="Verdana"/>
          <w:sz w:val="28"/>
          <w:szCs w:val="28"/>
        </w:rPr>
        <w:t>Operating budget goals, planning assumptions and deadlines</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sz w:val="28"/>
          <w:szCs w:val="28"/>
        </w:rPr>
      </w:pPr>
      <w:r w:rsidRPr="00A2166F">
        <w:rPr>
          <w:rFonts w:ascii="Garamond" w:hAnsi="Garamond" w:cs="Verdana"/>
          <w:sz w:val="28"/>
          <w:szCs w:val="28"/>
        </w:rPr>
        <w:t>Strategies and guidelines – Linkage of budget to strategic priorities</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sz w:val="28"/>
          <w:szCs w:val="28"/>
        </w:rPr>
      </w:pPr>
      <w:r w:rsidRPr="00A2166F">
        <w:rPr>
          <w:rFonts w:ascii="Garamond" w:hAnsi="Garamond" w:cs="Verdana"/>
          <w:sz w:val="28"/>
          <w:szCs w:val="28"/>
        </w:rPr>
        <w:t>Instructions and links to the budget development system “</w:t>
      </w:r>
      <w:proofErr w:type="spellStart"/>
      <w:r w:rsidRPr="00A2166F">
        <w:rPr>
          <w:rFonts w:ascii="Garamond" w:hAnsi="Garamond" w:cs="Verdana"/>
          <w:sz w:val="28"/>
          <w:szCs w:val="28"/>
        </w:rPr>
        <w:t>BudgetPak</w:t>
      </w:r>
      <w:proofErr w:type="spellEnd"/>
      <w:r w:rsidRPr="00A2166F">
        <w:rPr>
          <w:rFonts w:ascii="Garamond" w:hAnsi="Garamond" w:cs="Verdana"/>
          <w:sz w:val="28"/>
          <w:szCs w:val="28"/>
        </w:rPr>
        <w:t>”</w:t>
      </w:r>
    </w:p>
    <w:p w:rsidR="00E57654" w:rsidRPr="00A2166F" w:rsidRDefault="00E57654" w:rsidP="00E57654">
      <w:pPr>
        <w:autoSpaceDE w:val="0"/>
        <w:autoSpaceDN w:val="0"/>
        <w:adjustRightInd w:val="0"/>
        <w:spacing w:after="0" w:line="240" w:lineRule="auto"/>
        <w:rPr>
          <w:rFonts w:ascii="Garamond" w:hAnsi="Garamond" w:cs="Verdana"/>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Tuition and Fees</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The Board of Trustees approves the annual tuition and fee rates. Prior to finalizing rates, the Treasurer’s Office </w:t>
      </w:r>
      <w:r w:rsidR="00756D1C" w:rsidRPr="00A2166F">
        <w:rPr>
          <w:rFonts w:ascii="Garamond" w:hAnsi="Garamond" w:cs="Verdana"/>
          <w:color w:val="000000"/>
          <w:sz w:val="28"/>
          <w:szCs w:val="28"/>
        </w:rPr>
        <w:t>in consultation with the President, prepare</w:t>
      </w:r>
      <w:r w:rsidRPr="00A2166F">
        <w:rPr>
          <w:rFonts w:ascii="Garamond" w:hAnsi="Garamond" w:cs="Verdana"/>
          <w:color w:val="000000"/>
          <w:sz w:val="28"/>
          <w:szCs w:val="28"/>
        </w:rPr>
        <w:t xml:space="preserve"> models of various proposed rates, </w:t>
      </w:r>
      <w:r w:rsidR="00756D1C" w:rsidRPr="00A2166F">
        <w:rPr>
          <w:rFonts w:ascii="Garamond" w:hAnsi="Garamond" w:cs="Verdana"/>
          <w:color w:val="000000"/>
          <w:sz w:val="28"/>
          <w:szCs w:val="28"/>
        </w:rPr>
        <w:t>taking into consideration</w:t>
      </w:r>
      <w:r w:rsidRPr="00A2166F">
        <w:rPr>
          <w:rFonts w:ascii="Garamond" w:hAnsi="Garamond" w:cs="Verdana"/>
          <w:color w:val="000000"/>
          <w:sz w:val="28"/>
          <w:szCs w:val="28"/>
        </w:rPr>
        <w:t xml:space="preserve"> several factors such as enrollment</w:t>
      </w:r>
      <w:r w:rsidR="00756D1C" w:rsidRPr="00A2166F">
        <w:rPr>
          <w:rFonts w:ascii="Garamond" w:hAnsi="Garamond" w:cs="Verdana"/>
          <w:color w:val="000000"/>
          <w:sz w:val="28"/>
          <w:szCs w:val="28"/>
        </w:rPr>
        <w:t>s</w:t>
      </w:r>
      <w:r w:rsidRPr="00A2166F">
        <w:rPr>
          <w:rFonts w:ascii="Garamond" w:hAnsi="Garamond" w:cs="Verdana"/>
          <w:color w:val="000000"/>
          <w:sz w:val="28"/>
          <w:szCs w:val="28"/>
        </w:rPr>
        <w:t xml:space="preserve">, state appropriations, </w:t>
      </w:r>
      <w:r w:rsidR="00756D1C" w:rsidRPr="00A2166F">
        <w:rPr>
          <w:rFonts w:ascii="Garamond" w:hAnsi="Garamond" w:cs="Verdana"/>
          <w:color w:val="000000"/>
          <w:sz w:val="28"/>
          <w:szCs w:val="28"/>
        </w:rPr>
        <w:t xml:space="preserve">union contracts collectively bargained at the state level, </w:t>
      </w:r>
      <w:r w:rsidRPr="00A2166F">
        <w:rPr>
          <w:rFonts w:ascii="Garamond" w:hAnsi="Garamond" w:cs="Verdana"/>
          <w:color w:val="000000"/>
          <w:sz w:val="28"/>
          <w:szCs w:val="28"/>
        </w:rPr>
        <w:t xml:space="preserve">anticipated </w:t>
      </w:r>
      <w:r w:rsidR="00756D1C" w:rsidRPr="00A2166F">
        <w:rPr>
          <w:rFonts w:ascii="Garamond" w:hAnsi="Garamond" w:cs="Verdana"/>
          <w:color w:val="000000"/>
          <w:sz w:val="28"/>
          <w:szCs w:val="28"/>
        </w:rPr>
        <w:t xml:space="preserve">mandatory </w:t>
      </w:r>
      <w:r w:rsidRPr="00A2166F">
        <w:rPr>
          <w:rFonts w:ascii="Garamond" w:hAnsi="Garamond" w:cs="Verdana"/>
          <w:color w:val="000000"/>
          <w:sz w:val="28"/>
          <w:szCs w:val="28"/>
        </w:rPr>
        <w:t xml:space="preserve">cost increases, economic </w:t>
      </w:r>
      <w:r w:rsidR="00756D1C" w:rsidRPr="00A2166F">
        <w:rPr>
          <w:rFonts w:ascii="Garamond" w:hAnsi="Garamond" w:cs="Verdana"/>
          <w:color w:val="000000"/>
          <w:sz w:val="28"/>
          <w:szCs w:val="28"/>
        </w:rPr>
        <w:t xml:space="preserve">inflationary </w:t>
      </w:r>
      <w:r w:rsidRPr="00A2166F">
        <w:rPr>
          <w:rFonts w:ascii="Garamond" w:hAnsi="Garamond" w:cs="Verdana"/>
          <w:color w:val="000000"/>
          <w:sz w:val="28"/>
          <w:szCs w:val="28"/>
        </w:rPr>
        <w:t>indicators</w:t>
      </w:r>
      <w:r w:rsidR="00337331" w:rsidRPr="00A2166F">
        <w:rPr>
          <w:rFonts w:ascii="Garamond" w:hAnsi="Garamond" w:cs="Verdana"/>
          <w:color w:val="000000"/>
          <w:sz w:val="28"/>
          <w:szCs w:val="28"/>
        </w:rPr>
        <w:t>, cost containments strategies</w:t>
      </w:r>
      <w:r w:rsidR="00756D1C" w:rsidRPr="00A2166F">
        <w:rPr>
          <w:rFonts w:ascii="Garamond" w:hAnsi="Garamond" w:cs="Verdana"/>
          <w:color w:val="000000"/>
          <w:sz w:val="28"/>
          <w:szCs w:val="28"/>
        </w:rPr>
        <w:t xml:space="preserve"> </w:t>
      </w:r>
      <w:r w:rsidRPr="00A2166F">
        <w:rPr>
          <w:rFonts w:ascii="Garamond" w:hAnsi="Garamond" w:cs="Verdana"/>
          <w:color w:val="000000"/>
          <w:sz w:val="28"/>
          <w:szCs w:val="28"/>
        </w:rPr>
        <w:t xml:space="preserve">and </w:t>
      </w:r>
      <w:r w:rsidR="00337331" w:rsidRPr="00A2166F">
        <w:rPr>
          <w:rFonts w:ascii="Garamond" w:hAnsi="Garamond" w:cs="Verdana"/>
          <w:color w:val="000000"/>
          <w:sz w:val="28"/>
          <w:szCs w:val="28"/>
        </w:rPr>
        <w:t xml:space="preserve">the level of </w:t>
      </w:r>
      <w:r w:rsidRPr="00A2166F">
        <w:rPr>
          <w:rFonts w:ascii="Garamond" w:hAnsi="Garamond" w:cs="Verdana"/>
          <w:color w:val="000000"/>
          <w:sz w:val="28"/>
          <w:szCs w:val="28"/>
        </w:rPr>
        <w:t xml:space="preserve">strategic plan </w:t>
      </w:r>
      <w:r w:rsidR="00337331" w:rsidRPr="00A2166F">
        <w:rPr>
          <w:rFonts w:ascii="Garamond" w:hAnsi="Garamond" w:cs="Verdana"/>
          <w:color w:val="000000"/>
          <w:sz w:val="28"/>
          <w:szCs w:val="28"/>
        </w:rPr>
        <w:t>funding</w:t>
      </w:r>
      <w:r w:rsidRPr="00A2166F">
        <w:rPr>
          <w:rFonts w:ascii="Garamond" w:hAnsi="Garamond" w:cs="Verdana"/>
          <w:color w:val="000000"/>
          <w:sz w:val="28"/>
          <w:szCs w:val="28"/>
        </w:rPr>
        <w:t xml:space="preserve">. </w:t>
      </w:r>
      <w:r w:rsidR="00337331" w:rsidRPr="00A2166F">
        <w:rPr>
          <w:rFonts w:ascii="Garamond" w:hAnsi="Garamond" w:cs="Verdana"/>
          <w:color w:val="000000"/>
          <w:sz w:val="28"/>
          <w:szCs w:val="28"/>
        </w:rPr>
        <w:t xml:space="preserve"> </w:t>
      </w:r>
      <w:r w:rsidRPr="00A2166F">
        <w:rPr>
          <w:rFonts w:ascii="Garamond" w:hAnsi="Garamond" w:cs="Verdana"/>
          <w:color w:val="000000"/>
          <w:sz w:val="28"/>
          <w:szCs w:val="28"/>
        </w:rPr>
        <w:t xml:space="preserve">In addition, the State </w:t>
      </w:r>
      <w:r w:rsidR="00337331" w:rsidRPr="00A2166F">
        <w:rPr>
          <w:rFonts w:ascii="Garamond" w:hAnsi="Garamond" w:cs="Verdana"/>
          <w:color w:val="000000"/>
          <w:sz w:val="28"/>
          <w:szCs w:val="28"/>
        </w:rPr>
        <w:t>m</w:t>
      </w:r>
      <w:r w:rsidRPr="00A2166F">
        <w:rPr>
          <w:rFonts w:ascii="Garamond" w:hAnsi="Garamond" w:cs="Verdana"/>
          <w:color w:val="000000"/>
          <w:sz w:val="28"/>
          <w:szCs w:val="28"/>
        </w:rPr>
        <w:t>ay set guidelines regarding the amount of tuition increase permitted</w:t>
      </w:r>
      <w:r w:rsidR="00337331" w:rsidRPr="00A2166F">
        <w:rPr>
          <w:rFonts w:ascii="Garamond" w:hAnsi="Garamond" w:cs="Verdana"/>
          <w:color w:val="000000"/>
          <w:sz w:val="28"/>
          <w:szCs w:val="28"/>
        </w:rPr>
        <w:t xml:space="preserve"> by NJ Public </w:t>
      </w:r>
      <w:r w:rsidR="00337331" w:rsidRPr="00A2166F">
        <w:rPr>
          <w:rFonts w:ascii="Garamond" w:hAnsi="Garamond" w:cs="Verdana"/>
          <w:color w:val="000000"/>
          <w:sz w:val="28"/>
          <w:szCs w:val="28"/>
        </w:rPr>
        <w:lastRenderedPageBreak/>
        <w:t>Higher Education Institutions</w:t>
      </w:r>
      <w:r w:rsidRPr="00A2166F">
        <w:rPr>
          <w:rFonts w:ascii="Garamond" w:hAnsi="Garamond" w:cs="Verdana"/>
          <w:color w:val="000000"/>
          <w:sz w:val="28"/>
          <w:szCs w:val="28"/>
        </w:rPr>
        <w:t xml:space="preserve">. Prior to adopting </w:t>
      </w:r>
      <w:r w:rsidR="00337331" w:rsidRPr="00A2166F">
        <w:rPr>
          <w:rFonts w:ascii="Garamond" w:hAnsi="Garamond" w:cs="Verdana"/>
          <w:color w:val="000000"/>
          <w:sz w:val="28"/>
          <w:szCs w:val="28"/>
        </w:rPr>
        <w:t>new</w:t>
      </w:r>
      <w:r w:rsidRPr="00A2166F">
        <w:rPr>
          <w:rFonts w:ascii="Garamond" w:hAnsi="Garamond" w:cs="Verdana"/>
          <w:color w:val="000000"/>
          <w:sz w:val="28"/>
          <w:szCs w:val="28"/>
        </w:rPr>
        <w:t xml:space="preserve"> rates, the Board </w:t>
      </w:r>
      <w:r w:rsidR="00337331" w:rsidRPr="00A2166F">
        <w:rPr>
          <w:rFonts w:ascii="Garamond" w:hAnsi="Garamond" w:cs="Verdana"/>
          <w:color w:val="000000"/>
          <w:sz w:val="28"/>
          <w:szCs w:val="28"/>
        </w:rPr>
        <w:t xml:space="preserve">of Trustees </w:t>
      </w:r>
      <w:r w:rsidRPr="00A2166F">
        <w:rPr>
          <w:rFonts w:ascii="Garamond" w:hAnsi="Garamond" w:cs="Verdana"/>
          <w:color w:val="000000"/>
          <w:sz w:val="28"/>
          <w:szCs w:val="28"/>
        </w:rPr>
        <w:t xml:space="preserve">conducts a public </w:t>
      </w:r>
      <w:r w:rsidR="00337331" w:rsidRPr="00A2166F">
        <w:rPr>
          <w:rFonts w:ascii="Garamond" w:hAnsi="Garamond" w:cs="Verdana"/>
          <w:color w:val="000000"/>
          <w:sz w:val="28"/>
          <w:szCs w:val="28"/>
        </w:rPr>
        <w:t>T</w:t>
      </w:r>
      <w:r w:rsidRPr="00A2166F">
        <w:rPr>
          <w:rFonts w:ascii="Garamond" w:hAnsi="Garamond" w:cs="Verdana"/>
          <w:color w:val="000000"/>
          <w:sz w:val="28"/>
          <w:szCs w:val="28"/>
        </w:rPr>
        <w:t xml:space="preserve">uition </w:t>
      </w:r>
      <w:r w:rsidR="00337331" w:rsidRPr="00A2166F">
        <w:rPr>
          <w:rFonts w:ascii="Garamond" w:hAnsi="Garamond" w:cs="Verdana"/>
          <w:color w:val="000000"/>
          <w:sz w:val="28"/>
          <w:szCs w:val="28"/>
        </w:rPr>
        <w:t>H</w:t>
      </w:r>
      <w:r w:rsidRPr="00A2166F">
        <w:rPr>
          <w:rFonts w:ascii="Garamond" w:hAnsi="Garamond" w:cs="Verdana"/>
          <w:color w:val="000000"/>
          <w:sz w:val="28"/>
          <w:szCs w:val="28"/>
        </w:rPr>
        <w:t>earing to provide members of the College community with an opportunity to share their perspectives.</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0000"/>
          <w:sz w:val="28"/>
          <w:szCs w:val="28"/>
        </w:rPr>
      </w:pPr>
      <w:r w:rsidRPr="00A2166F">
        <w:rPr>
          <w:rFonts w:ascii="Garamond" w:hAnsi="Garamond" w:cs="Verdana"/>
          <w:color w:val="000000"/>
          <w:sz w:val="28"/>
          <w:szCs w:val="28"/>
        </w:rPr>
        <w:t>All non-standard tuition and special fees related to academic courses (credit and non-credit) are reviewed by the appropriate department and Vice President</w:t>
      </w:r>
      <w:r w:rsidR="005627F7" w:rsidRPr="00A2166F">
        <w:rPr>
          <w:rFonts w:ascii="Garamond" w:hAnsi="Garamond" w:cs="Verdana"/>
          <w:color w:val="000000"/>
          <w:sz w:val="28"/>
          <w:szCs w:val="28"/>
        </w:rPr>
        <w:t>’s</w:t>
      </w:r>
      <w:r w:rsidRPr="00A2166F">
        <w:rPr>
          <w:rFonts w:ascii="Garamond" w:hAnsi="Garamond" w:cs="Verdana"/>
          <w:color w:val="000000"/>
          <w:sz w:val="28"/>
          <w:szCs w:val="28"/>
        </w:rPr>
        <w:t xml:space="preserve"> Office. Non-standard tuition and fees include laboratory and sp</w:t>
      </w:r>
      <w:r w:rsidR="00433CFD">
        <w:rPr>
          <w:rFonts w:ascii="Garamond" w:hAnsi="Garamond" w:cs="Verdana"/>
          <w:color w:val="000000"/>
          <w:sz w:val="28"/>
          <w:szCs w:val="28"/>
        </w:rPr>
        <w:t xml:space="preserve">ecial program fees, </w:t>
      </w:r>
      <w:r w:rsidRPr="00A2166F">
        <w:rPr>
          <w:rFonts w:ascii="Garamond" w:hAnsi="Garamond" w:cs="Verdana"/>
          <w:color w:val="000000"/>
          <w:sz w:val="28"/>
          <w:szCs w:val="28"/>
        </w:rPr>
        <w:t xml:space="preserve">and other miscellaneous fees required to support student-related services. </w:t>
      </w:r>
      <w:r w:rsidR="005627F7" w:rsidRPr="00A2166F">
        <w:rPr>
          <w:rFonts w:ascii="Garamond" w:hAnsi="Garamond" w:cs="Verdana"/>
          <w:color w:val="000000"/>
          <w:sz w:val="28"/>
          <w:szCs w:val="28"/>
        </w:rPr>
        <w:t xml:space="preserve">Upon the recommendation of the President and approval by the Board, the tuition and fees rates are announced to the public via the Office of Student Accounts website. </w:t>
      </w:r>
      <w:hyperlink r:id="rId10" w:history="1">
        <w:r w:rsidR="005627F7" w:rsidRPr="00A2166F">
          <w:rPr>
            <w:rStyle w:val="Hyperlink"/>
            <w:rFonts w:ascii="Garamond" w:hAnsi="Garamond" w:cs="Verdana"/>
            <w:b/>
            <w:bCs/>
            <w:sz w:val="28"/>
            <w:szCs w:val="28"/>
          </w:rPr>
          <w:t>https://studentaccounts.tcnj.edu/tuition-fees/</w:t>
        </w:r>
      </w:hyperlink>
    </w:p>
    <w:p w:rsidR="005627F7" w:rsidRPr="00A2166F" w:rsidRDefault="005627F7" w:rsidP="00E57654">
      <w:pPr>
        <w:autoSpaceDE w:val="0"/>
        <w:autoSpaceDN w:val="0"/>
        <w:adjustRightInd w:val="0"/>
        <w:spacing w:after="0" w:line="240" w:lineRule="auto"/>
        <w:rPr>
          <w:rFonts w:ascii="Garamond" w:hAnsi="Garamond" w:cs="Verdana"/>
          <w:b/>
          <w:bCs/>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Mandatory Student Fees</w:t>
      </w:r>
    </w:p>
    <w:p w:rsidR="00E56A57"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TCNJ assesses four mandatory fees, the General Service Fee/Capital, Student Center Fee, Card Service Fee and the Student Activity Fee. Mandatory student fees are charged every semester and cannot be waived.</w:t>
      </w:r>
      <w:r w:rsidR="00343F75" w:rsidRPr="00A2166F">
        <w:rPr>
          <w:rFonts w:ascii="Garamond" w:hAnsi="Garamond" w:cs="Verdana"/>
          <w:color w:val="000000"/>
          <w:sz w:val="28"/>
          <w:szCs w:val="28"/>
        </w:rPr>
        <w:t xml:space="preserve">  </w:t>
      </w:r>
      <w:r w:rsidRPr="00A2166F">
        <w:rPr>
          <w:rFonts w:ascii="Garamond" w:hAnsi="Garamond" w:cs="Verdana"/>
          <w:color w:val="000000"/>
          <w:sz w:val="28"/>
          <w:szCs w:val="28"/>
        </w:rPr>
        <w:t>Concurrent with the annual budget process, mandatory student fees are reviewed by the</w:t>
      </w:r>
      <w:r w:rsidR="00343F75" w:rsidRPr="00A2166F">
        <w:rPr>
          <w:rFonts w:ascii="Garamond" w:hAnsi="Garamond" w:cs="Verdana"/>
          <w:color w:val="000000"/>
          <w:sz w:val="28"/>
          <w:szCs w:val="28"/>
        </w:rPr>
        <w:t xml:space="preserve"> </w:t>
      </w:r>
      <w:r w:rsidRPr="00A2166F">
        <w:rPr>
          <w:rFonts w:ascii="Garamond" w:hAnsi="Garamond" w:cs="Verdana"/>
          <w:color w:val="000000"/>
          <w:sz w:val="28"/>
          <w:szCs w:val="28"/>
        </w:rPr>
        <w:t xml:space="preserve">Vice Presidents of the areas responsible for using the fees. </w:t>
      </w:r>
      <w:r w:rsidRPr="00514507">
        <w:rPr>
          <w:rFonts w:ascii="Garamond" w:hAnsi="Garamond" w:cs="Verdana"/>
          <w:color w:val="000000"/>
          <w:sz w:val="28"/>
          <w:szCs w:val="28"/>
        </w:rPr>
        <w:t xml:space="preserve">Recommendations on </w:t>
      </w:r>
      <w:r w:rsidR="00E16E6D" w:rsidRPr="00514507">
        <w:rPr>
          <w:rFonts w:ascii="Garamond" w:hAnsi="Garamond" w:cs="Verdana"/>
          <w:color w:val="000000"/>
          <w:sz w:val="28"/>
          <w:szCs w:val="28"/>
        </w:rPr>
        <w:t xml:space="preserve">any </w:t>
      </w:r>
      <w:r w:rsidRPr="00514507">
        <w:rPr>
          <w:rFonts w:ascii="Garamond" w:hAnsi="Garamond" w:cs="Verdana"/>
          <w:color w:val="000000"/>
          <w:sz w:val="28"/>
          <w:szCs w:val="28"/>
        </w:rPr>
        <w:t>rate</w:t>
      </w:r>
      <w:r w:rsidR="00E16E6D" w:rsidRPr="00514507">
        <w:rPr>
          <w:rFonts w:ascii="Garamond" w:hAnsi="Garamond" w:cs="Verdana"/>
          <w:color w:val="000000"/>
          <w:sz w:val="28"/>
          <w:szCs w:val="28"/>
        </w:rPr>
        <w:t xml:space="preserve"> adjustments</w:t>
      </w:r>
      <w:r w:rsidRPr="00514507">
        <w:rPr>
          <w:rFonts w:ascii="Garamond" w:hAnsi="Garamond" w:cs="Verdana"/>
          <w:color w:val="000000"/>
          <w:sz w:val="28"/>
          <w:szCs w:val="28"/>
        </w:rPr>
        <w:t xml:space="preserve"> for the </w:t>
      </w:r>
      <w:r w:rsidR="00E16E6D" w:rsidRPr="00514507">
        <w:rPr>
          <w:rFonts w:ascii="Garamond" w:hAnsi="Garamond" w:cs="Verdana"/>
          <w:color w:val="000000"/>
          <w:sz w:val="28"/>
          <w:szCs w:val="28"/>
        </w:rPr>
        <w:t>up</w:t>
      </w:r>
      <w:r w:rsidRPr="00514507">
        <w:rPr>
          <w:rFonts w:ascii="Garamond" w:hAnsi="Garamond" w:cs="Verdana"/>
          <w:color w:val="000000"/>
          <w:sz w:val="28"/>
          <w:szCs w:val="28"/>
        </w:rPr>
        <w:t xml:space="preserve">coming </w:t>
      </w:r>
      <w:r w:rsidR="00E16E6D" w:rsidRPr="00514507">
        <w:rPr>
          <w:rFonts w:ascii="Garamond" w:hAnsi="Garamond" w:cs="Verdana"/>
          <w:color w:val="000000"/>
          <w:sz w:val="28"/>
          <w:szCs w:val="28"/>
        </w:rPr>
        <w:t xml:space="preserve">fiscal </w:t>
      </w:r>
      <w:r w:rsidRPr="00514507">
        <w:rPr>
          <w:rFonts w:ascii="Garamond" w:hAnsi="Garamond" w:cs="Verdana"/>
          <w:color w:val="000000"/>
          <w:sz w:val="28"/>
          <w:szCs w:val="28"/>
        </w:rPr>
        <w:t xml:space="preserve">year are based on </w:t>
      </w:r>
      <w:r w:rsidR="00E16E6D" w:rsidRPr="00514507">
        <w:rPr>
          <w:rFonts w:ascii="Garamond" w:hAnsi="Garamond" w:cs="Verdana"/>
          <w:color w:val="000000"/>
          <w:sz w:val="28"/>
          <w:szCs w:val="28"/>
        </w:rPr>
        <w:t>budgeted allocation (uses of funds) supported by each mandatory fee</w:t>
      </w:r>
      <w:r w:rsidRPr="00514507">
        <w:rPr>
          <w:rFonts w:ascii="Garamond" w:hAnsi="Garamond" w:cs="Verdana"/>
          <w:color w:val="000000"/>
          <w:sz w:val="28"/>
          <w:szCs w:val="28"/>
        </w:rPr>
        <w:t xml:space="preserve"> </w:t>
      </w:r>
      <w:r w:rsidR="00E16E6D" w:rsidRPr="00514507">
        <w:rPr>
          <w:rFonts w:ascii="Garamond" w:hAnsi="Garamond" w:cs="Verdana"/>
          <w:color w:val="000000"/>
          <w:sz w:val="28"/>
          <w:szCs w:val="28"/>
        </w:rPr>
        <w:t xml:space="preserve">versus the projected revenue from enrollment and the rate adjustment (if any). Cognizant of the </w:t>
      </w:r>
      <w:r w:rsidR="00E56A57" w:rsidRPr="00514507">
        <w:rPr>
          <w:rFonts w:ascii="Garamond" w:hAnsi="Garamond" w:cs="Verdana"/>
          <w:color w:val="000000"/>
          <w:sz w:val="28"/>
          <w:szCs w:val="28"/>
        </w:rPr>
        <w:t xml:space="preserve">conclusion in the statement of principles on </w:t>
      </w:r>
      <w:r w:rsidR="00E16E6D" w:rsidRPr="00514507">
        <w:rPr>
          <w:rFonts w:ascii="Garamond" w:hAnsi="Garamond" w:cs="Verdana"/>
          <w:color w:val="000000"/>
          <w:sz w:val="28"/>
          <w:szCs w:val="28"/>
        </w:rPr>
        <w:t>tuition and fees</w:t>
      </w:r>
      <w:r w:rsidR="00E56A57" w:rsidRPr="00514507">
        <w:rPr>
          <w:rFonts w:ascii="Garamond" w:hAnsi="Garamond" w:cs="Verdana"/>
          <w:color w:val="000000"/>
          <w:sz w:val="28"/>
          <w:szCs w:val="28"/>
        </w:rPr>
        <w:t xml:space="preserve">, </w:t>
      </w:r>
      <w:r w:rsidR="00E16E6D" w:rsidRPr="00514507">
        <w:rPr>
          <w:rFonts w:ascii="Garamond" w:hAnsi="Garamond" w:cs="Verdana"/>
          <w:color w:val="000000"/>
          <w:sz w:val="28"/>
          <w:szCs w:val="28"/>
        </w:rPr>
        <w:t xml:space="preserve"> </w:t>
      </w:r>
      <w:hyperlink r:id="rId11" w:history="1">
        <w:r w:rsidR="00E56A57" w:rsidRPr="00514507">
          <w:rPr>
            <w:rStyle w:val="Hyperlink"/>
            <w:rFonts w:ascii="Garamond" w:hAnsi="Garamond" w:cs="Verdana"/>
            <w:sz w:val="28"/>
            <w:szCs w:val="28"/>
          </w:rPr>
          <w:t>https://treasurer.tcnj.edu/wp-content/uploads/sites/90/2017/05/Statement-of-Principles.pdf</w:t>
        </w:r>
      </w:hyperlink>
      <w:r w:rsidR="00AA08D0" w:rsidRPr="00514507">
        <w:rPr>
          <w:rFonts w:ascii="Garamond" w:hAnsi="Garamond" w:cs="Verdana"/>
          <w:color w:val="000000"/>
          <w:sz w:val="28"/>
          <w:szCs w:val="28"/>
        </w:rPr>
        <w:t xml:space="preserve">, </w:t>
      </w:r>
      <w:r w:rsidR="00E56A57" w:rsidRPr="00514507">
        <w:rPr>
          <w:rFonts w:ascii="Garamond" w:hAnsi="Garamond" w:cs="Verdana"/>
          <w:color w:val="000000"/>
          <w:sz w:val="28"/>
          <w:szCs w:val="28"/>
        </w:rPr>
        <w:t xml:space="preserve">any proposed rate adjustments </w:t>
      </w:r>
      <w:r w:rsidR="00AA08D0" w:rsidRPr="00514507">
        <w:rPr>
          <w:rFonts w:ascii="Garamond" w:hAnsi="Garamond" w:cs="Verdana"/>
          <w:color w:val="000000"/>
          <w:sz w:val="28"/>
          <w:szCs w:val="28"/>
        </w:rPr>
        <w:t xml:space="preserve">are </w:t>
      </w:r>
      <w:r w:rsidRPr="00514507">
        <w:rPr>
          <w:rFonts w:ascii="Garamond" w:hAnsi="Garamond" w:cs="Verdana"/>
          <w:color w:val="000000"/>
          <w:sz w:val="28"/>
          <w:szCs w:val="28"/>
        </w:rPr>
        <w:t xml:space="preserve">reviewed </w:t>
      </w:r>
      <w:r w:rsidR="00E56A57" w:rsidRPr="00514507">
        <w:rPr>
          <w:rFonts w:ascii="Garamond" w:hAnsi="Garamond" w:cs="Verdana"/>
          <w:color w:val="000000"/>
          <w:sz w:val="28"/>
          <w:szCs w:val="28"/>
        </w:rPr>
        <w:t>and deliberated with the Business and Infrastructure Committee of the Board of Trustees as part of the College’s budget plan</w:t>
      </w:r>
      <w:r w:rsidRPr="00514507">
        <w:rPr>
          <w:rFonts w:ascii="Garamond" w:hAnsi="Garamond" w:cs="Verdana"/>
          <w:color w:val="000000"/>
          <w:sz w:val="28"/>
          <w:szCs w:val="28"/>
        </w:rPr>
        <w:t xml:space="preserve"> </w:t>
      </w:r>
      <w:r w:rsidR="00E56A57" w:rsidRPr="00514507">
        <w:rPr>
          <w:rFonts w:ascii="Garamond" w:hAnsi="Garamond" w:cs="Verdana"/>
          <w:color w:val="000000"/>
          <w:sz w:val="28"/>
          <w:szCs w:val="28"/>
        </w:rPr>
        <w:t xml:space="preserve">by the </w:t>
      </w:r>
      <w:r w:rsidRPr="00514507">
        <w:rPr>
          <w:rFonts w:ascii="Garamond" w:hAnsi="Garamond" w:cs="Verdana"/>
          <w:color w:val="000000"/>
          <w:sz w:val="28"/>
          <w:szCs w:val="28"/>
        </w:rPr>
        <w:t>Treasurer and President.</w:t>
      </w:r>
      <w:r w:rsidRPr="00A2166F">
        <w:rPr>
          <w:rFonts w:ascii="Garamond" w:hAnsi="Garamond" w:cs="Verdana"/>
          <w:color w:val="000000"/>
          <w:sz w:val="28"/>
          <w:szCs w:val="28"/>
        </w:rPr>
        <w:t xml:space="preserve"> </w:t>
      </w:r>
    </w:p>
    <w:p w:rsidR="00E56A57" w:rsidRDefault="00E56A57"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Mandatory fees and the purposes for which they are collected are published on the College’s web site. </w:t>
      </w:r>
      <w:hyperlink r:id="rId12" w:history="1">
        <w:r w:rsidR="00F73F51" w:rsidRPr="00F73F51">
          <w:rPr>
            <w:rStyle w:val="Hyperlink"/>
            <w:rFonts w:ascii="Garamond" w:hAnsi="Garamond" w:cs="Verdana"/>
            <w:sz w:val="28"/>
            <w:szCs w:val="28"/>
          </w:rPr>
          <w:t>https://studentaccounts.tcnj.edu/wp-content/uploads/sites/77/2017/07/Description-of-Mandatory-Fees-July-2017.pdf</w:t>
        </w:r>
      </w:hyperlink>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3B4E7B" w:rsidRPr="00A2166F" w:rsidRDefault="003B4E7B" w:rsidP="003B4E7B">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Auxiliary Funds</w:t>
      </w:r>
    </w:p>
    <w:p w:rsidR="003B4E7B" w:rsidRPr="00A2166F" w:rsidRDefault="003B4E7B" w:rsidP="003B4E7B">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 xml:space="preserve">Budget managers responsible for auxiliary funds must monitor the relationship between actual revenues and expenditures.  Departments are required to submit revenue and expenditure forecasts during the annual budget development process. </w:t>
      </w:r>
    </w:p>
    <w:p w:rsidR="003B4E7B" w:rsidRPr="00A2166F" w:rsidRDefault="003B4E7B" w:rsidP="003B4E7B">
      <w:pPr>
        <w:autoSpaceDE w:val="0"/>
        <w:autoSpaceDN w:val="0"/>
        <w:adjustRightInd w:val="0"/>
        <w:spacing w:after="0" w:line="240" w:lineRule="auto"/>
        <w:rPr>
          <w:rFonts w:ascii="Garamond" w:hAnsi="Garamond" w:cs="TimesNewRomanPSMT"/>
          <w:color w:val="000000"/>
          <w:sz w:val="28"/>
          <w:szCs w:val="28"/>
        </w:rPr>
      </w:pPr>
    </w:p>
    <w:p w:rsidR="00E57654" w:rsidRPr="00A2166F" w:rsidRDefault="003B4E7B"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Personnel Budgets</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Budgets for permanent positions are allocated to departments based on where each employee works. Permanent staff may be full-time or a % of full-time. Faculty may be 10-month or 12-month. Budgets for positions that are shared by two or more </w:t>
      </w:r>
      <w:r w:rsidRPr="00A2166F">
        <w:rPr>
          <w:rFonts w:ascii="Garamond" w:hAnsi="Garamond" w:cs="Verdana"/>
          <w:color w:val="000000"/>
          <w:sz w:val="28"/>
          <w:szCs w:val="28"/>
        </w:rPr>
        <w:lastRenderedPageBreak/>
        <w:t xml:space="preserve">departments, or </w:t>
      </w:r>
      <w:r w:rsidR="003B4E7B" w:rsidRPr="00A2166F">
        <w:rPr>
          <w:rFonts w:ascii="Garamond" w:hAnsi="Garamond" w:cs="Verdana"/>
          <w:color w:val="000000"/>
          <w:sz w:val="28"/>
          <w:szCs w:val="28"/>
        </w:rPr>
        <w:t xml:space="preserve">funded </w:t>
      </w:r>
      <w:r w:rsidRPr="00A2166F">
        <w:rPr>
          <w:rFonts w:ascii="Garamond" w:hAnsi="Garamond" w:cs="Verdana"/>
          <w:color w:val="000000"/>
          <w:sz w:val="28"/>
          <w:szCs w:val="28"/>
        </w:rPr>
        <w:t xml:space="preserve">in part by </w:t>
      </w:r>
      <w:r w:rsidR="003B4E7B" w:rsidRPr="00A2166F">
        <w:rPr>
          <w:rFonts w:ascii="Garamond" w:hAnsi="Garamond" w:cs="Verdana"/>
          <w:color w:val="000000"/>
          <w:sz w:val="28"/>
          <w:szCs w:val="28"/>
        </w:rPr>
        <w:t xml:space="preserve">external </w:t>
      </w:r>
      <w:r w:rsidRPr="00A2166F">
        <w:rPr>
          <w:rFonts w:ascii="Garamond" w:hAnsi="Garamond" w:cs="Verdana"/>
          <w:color w:val="000000"/>
          <w:sz w:val="28"/>
          <w:szCs w:val="28"/>
        </w:rPr>
        <w:t xml:space="preserve">grants, will be </w:t>
      </w:r>
      <w:r w:rsidR="003B4E7B" w:rsidRPr="00A2166F">
        <w:rPr>
          <w:rFonts w:ascii="Garamond" w:hAnsi="Garamond" w:cs="Verdana"/>
          <w:color w:val="000000"/>
          <w:sz w:val="28"/>
          <w:szCs w:val="28"/>
        </w:rPr>
        <w:t>allocated accordingly</w:t>
      </w:r>
      <w:r w:rsidRPr="00A2166F">
        <w:rPr>
          <w:rFonts w:ascii="Garamond" w:hAnsi="Garamond" w:cs="Verdana"/>
          <w:color w:val="000000"/>
          <w:sz w:val="28"/>
          <w:szCs w:val="28"/>
        </w:rPr>
        <w:t>. These budgets cover:</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Continuing personnel budgets</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Approved newly authorized personnel</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Annual leave and/or final payments to employees such as lump sum vacation</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Short-term disability and any leave replacements the unit chooses to make</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Reclassification of a position to a new title at a higher salary</w:t>
      </w:r>
    </w:p>
    <w:p w:rsidR="00E57654" w:rsidRPr="00A2166F" w:rsidRDefault="00E57654" w:rsidP="00E57654">
      <w:pPr>
        <w:pStyle w:val="ListParagraph"/>
        <w:numPr>
          <w:ilvl w:val="0"/>
          <w:numId w:val="2"/>
        </w:num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Fringe benefit costs</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During the Budget Development process, the Treasurer’s Office develops the budgets for permanent position salaries and fringe benefits for continuing permanent staff; </w:t>
      </w:r>
      <w:proofErr w:type="gramStart"/>
      <w:r w:rsidRPr="00A2166F">
        <w:rPr>
          <w:rFonts w:ascii="Garamond" w:hAnsi="Garamond" w:cs="Verdana"/>
          <w:color w:val="000000"/>
          <w:sz w:val="28"/>
          <w:szCs w:val="28"/>
        </w:rPr>
        <w:t>taking into account</w:t>
      </w:r>
      <w:proofErr w:type="gramEnd"/>
      <w:r w:rsidRPr="00A2166F">
        <w:rPr>
          <w:rFonts w:ascii="Garamond" w:hAnsi="Garamond" w:cs="Verdana"/>
          <w:color w:val="000000"/>
          <w:sz w:val="28"/>
          <w:szCs w:val="28"/>
        </w:rPr>
        <w:t xml:space="preserve"> estimated cost of living and step increases and other information regarding upcoming departures, leaves of absence or position moves to other departments.  Changes such as reorganizations, reclassifications, and new positions, should be requested and approved during the budget planning period – </w:t>
      </w:r>
      <w:r w:rsidRPr="00A2166F">
        <w:rPr>
          <w:rFonts w:ascii="Garamond" w:hAnsi="Garamond" w:cs="Verdana"/>
          <w:b/>
          <w:i/>
          <w:color w:val="000000"/>
          <w:sz w:val="28"/>
          <w:szCs w:val="28"/>
        </w:rPr>
        <w:t>see the Human Resources process</w:t>
      </w:r>
      <w:r w:rsidRPr="00A2166F">
        <w:rPr>
          <w:rFonts w:ascii="Garamond" w:hAnsi="Garamond" w:cs="Verdana"/>
          <w:color w:val="000000"/>
          <w:sz w:val="28"/>
          <w:szCs w:val="28"/>
        </w:rPr>
        <w:t xml:space="preserve">. </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Fringe Benefits</w:t>
      </w:r>
      <w:r w:rsidR="003B4E7B" w:rsidRPr="00A2166F">
        <w:rPr>
          <w:rFonts w:ascii="Garamond" w:hAnsi="Garamond" w:cs="Verdana"/>
          <w:b/>
          <w:bCs/>
          <w:color w:val="002060"/>
          <w:sz w:val="28"/>
          <w:szCs w:val="28"/>
        </w:rPr>
        <w:t xml:space="preserve"> Expense</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Fringe benefits are an integral part of the College’s compensation program and must be included in the budget. Fringe includes contributions to life insurance, disability insurance, retirement plans, and health insurance programs. The College reimburses the State of New Jersey for fringe benefit costs above a fixed number </w:t>
      </w:r>
      <w:r w:rsidRPr="00A2166F">
        <w:rPr>
          <w:rFonts w:ascii="Garamond" w:hAnsi="Garamond" w:cs="Verdana"/>
          <w:b/>
          <w:color w:val="000000"/>
          <w:sz w:val="28"/>
          <w:szCs w:val="28"/>
        </w:rPr>
        <w:t>(859</w:t>
      </w:r>
      <w:r w:rsidRPr="00A2166F">
        <w:rPr>
          <w:rFonts w:ascii="Garamond" w:hAnsi="Garamond" w:cs="Verdana"/>
          <w:color w:val="000000"/>
          <w:sz w:val="28"/>
          <w:szCs w:val="28"/>
        </w:rPr>
        <w:t xml:space="preserve">) of employees, known as the “state authorized positions” within the state-supported budget.  The College must also allocate other funding sources </w:t>
      </w:r>
      <w:r w:rsidRPr="00A2166F">
        <w:rPr>
          <w:rFonts w:ascii="Garamond" w:hAnsi="Garamond" w:cs="Verdana"/>
          <w:b/>
          <w:color w:val="000000"/>
          <w:sz w:val="28"/>
          <w:szCs w:val="28"/>
        </w:rPr>
        <w:t>ALL</w:t>
      </w:r>
      <w:r w:rsidRPr="00A2166F">
        <w:rPr>
          <w:rFonts w:ascii="Garamond" w:hAnsi="Garamond" w:cs="Verdana"/>
          <w:color w:val="000000"/>
          <w:sz w:val="28"/>
          <w:szCs w:val="28"/>
        </w:rPr>
        <w:t xml:space="preserve"> auxiliary, grants, and other non-state funded positions. </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p>
    <w:p w:rsidR="00E57654" w:rsidRPr="00A2166F" w:rsidRDefault="00E57654" w:rsidP="00E57654">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New Position Requests</w:t>
      </w:r>
    </w:p>
    <w:p w:rsidR="00E57654" w:rsidRPr="00A2166F" w:rsidRDefault="00E57654" w:rsidP="00E57654">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New position requests begin with a justification to the Cabinet during the budget development process. Cabinet will make recommendations to the President and if position is </w:t>
      </w:r>
      <w:proofErr w:type="gramStart"/>
      <w:r w:rsidRPr="00A2166F">
        <w:rPr>
          <w:rFonts w:ascii="Garamond" w:hAnsi="Garamond" w:cs="Verdana"/>
          <w:color w:val="000000"/>
          <w:sz w:val="28"/>
          <w:szCs w:val="28"/>
        </w:rPr>
        <w:t xml:space="preserve">approved,   </w:t>
      </w:r>
      <w:proofErr w:type="gramEnd"/>
      <w:r w:rsidRPr="00A2166F">
        <w:rPr>
          <w:rFonts w:ascii="Garamond" w:hAnsi="Garamond" w:cs="Verdana"/>
          <w:color w:val="000000"/>
          <w:sz w:val="28"/>
          <w:szCs w:val="28"/>
        </w:rPr>
        <w:t xml:space="preserve">departments must follow the Human Resources procedures including submission of a job description, organizational chart, justification and estimated cost. </w:t>
      </w:r>
    </w:p>
    <w:p w:rsidR="00F42F3F" w:rsidRPr="00A2166F" w:rsidRDefault="00F42F3F" w:rsidP="00925525">
      <w:pPr>
        <w:autoSpaceDE w:val="0"/>
        <w:autoSpaceDN w:val="0"/>
        <w:adjustRightInd w:val="0"/>
        <w:spacing w:after="0" w:line="240" w:lineRule="auto"/>
        <w:rPr>
          <w:rFonts w:ascii="Garamond" w:hAnsi="Garamond" w:cs="TimesNewRomanPS-BoldMT"/>
          <w:b/>
          <w:bCs/>
          <w:color w:val="000000"/>
          <w:sz w:val="28"/>
          <w:szCs w:val="28"/>
        </w:rPr>
      </w:pPr>
    </w:p>
    <w:p w:rsidR="00953201" w:rsidRPr="00A2166F" w:rsidRDefault="00953201" w:rsidP="00953201">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Faculty Positions</w:t>
      </w:r>
    </w:p>
    <w:p w:rsidR="00953201" w:rsidRPr="00A2166F" w:rsidRDefault="00953201" w:rsidP="00953201">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 xml:space="preserve">Primary administrative control of the faculty position base resides with the Provost/Vice President for Academic Affairs. The following general policies apply to the faculty position base. Faculty dollars may be assigned as necessary among faculty employment categories (Part-time, full-time, and temporary) to meet instructional demands, regardless of funding source.  The Provost/Vice President may approve as necessary the creation of new faculty lines within the budget allocated for faculty </w:t>
      </w:r>
      <w:r w:rsidRPr="00A2166F">
        <w:rPr>
          <w:rFonts w:ascii="Garamond" w:hAnsi="Garamond" w:cs="TimesNewRomanPSMT"/>
          <w:color w:val="000000"/>
          <w:sz w:val="28"/>
          <w:szCs w:val="28"/>
        </w:rPr>
        <w:lastRenderedPageBreak/>
        <w:t>compensation if approved by the President.  Under special conditions, a faculty position may be re-defined as a staff position. In this case funds may be moved to the staff position base. (The reverse is also true where staff positions may be re-defined and moved to the faculty base).</w:t>
      </w:r>
    </w:p>
    <w:p w:rsidR="00E57654" w:rsidRPr="00A2166F" w:rsidRDefault="00E57654" w:rsidP="00925525">
      <w:pPr>
        <w:autoSpaceDE w:val="0"/>
        <w:autoSpaceDN w:val="0"/>
        <w:adjustRightInd w:val="0"/>
        <w:spacing w:after="0" w:line="240" w:lineRule="auto"/>
        <w:rPr>
          <w:rFonts w:ascii="Garamond" w:hAnsi="Garamond" w:cs="TimesNewRomanPS-BoldMT"/>
          <w:b/>
          <w:bCs/>
          <w:color w:val="000000"/>
          <w:sz w:val="28"/>
          <w:szCs w:val="28"/>
        </w:rPr>
      </w:pPr>
    </w:p>
    <w:p w:rsidR="00A5622C" w:rsidRDefault="00A5622C" w:rsidP="00953201">
      <w:pPr>
        <w:autoSpaceDE w:val="0"/>
        <w:autoSpaceDN w:val="0"/>
        <w:adjustRightInd w:val="0"/>
        <w:spacing w:after="0" w:line="240" w:lineRule="auto"/>
        <w:rPr>
          <w:rFonts w:ascii="Garamond" w:hAnsi="Garamond" w:cs="TimesNewRomanPS-BoldMT"/>
          <w:b/>
          <w:bCs/>
          <w:color w:val="002060"/>
          <w:sz w:val="28"/>
          <w:szCs w:val="28"/>
        </w:rPr>
      </w:pPr>
    </w:p>
    <w:p w:rsidR="00953201" w:rsidRPr="00A2166F" w:rsidRDefault="00953201" w:rsidP="00953201">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Staff Positions</w:t>
      </w:r>
    </w:p>
    <w:p w:rsidR="00953201" w:rsidRPr="00A2166F" w:rsidRDefault="00953201" w:rsidP="00953201">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 xml:space="preserve">Primary administrative control of the staff positions </w:t>
      </w:r>
      <w:proofErr w:type="gramStart"/>
      <w:r w:rsidRPr="00A2166F">
        <w:rPr>
          <w:rFonts w:ascii="Garamond" w:hAnsi="Garamond" w:cs="TimesNewRomanPSMT"/>
          <w:color w:val="000000"/>
          <w:sz w:val="28"/>
          <w:szCs w:val="28"/>
        </w:rPr>
        <w:t>reside</w:t>
      </w:r>
      <w:proofErr w:type="gramEnd"/>
      <w:r w:rsidRPr="00A2166F">
        <w:rPr>
          <w:rFonts w:ascii="Garamond" w:hAnsi="Garamond" w:cs="TimesNewRomanPSMT"/>
          <w:color w:val="000000"/>
          <w:sz w:val="28"/>
          <w:szCs w:val="28"/>
        </w:rPr>
        <w:t xml:space="preserve"> with the Office of Human Resources (classification) and the Treasurer’s Office (funding and payment). During the course of a fiscal year, managers may find it necessary to revise their position base due to hiring decisions or position restructuring.  These actions require the review and approval of the Office of Human Resources with the concurrence of Cabinet. The budget manager and Vice President must ensure that funding is in place to address such changes in the current fiscal year. Also, the recurring impact of such changes must be tracked and funding sources identified so that any permanent base budget change can be address during the annual budget process.</w:t>
      </w:r>
    </w:p>
    <w:p w:rsidR="00953201" w:rsidRPr="00A2166F" w:rsidRDefault="00953201" w:rsidP="00953201">
      <w:pPr>
        <w:pStyle w:val="ListParagraph"/>
        <w:autoSpaceDE w:val="0"/>
        <w:autoSpaceDN w:val="0"/>
        <w:adjustRightInd w:val="0"/>
        <w:spacing w:after="0" w:line="240" w:lineRule="auto"/>
        <w:rPr>
          <w:rFonts w:ascii="Garamond" w:hAnsi="Garamond" w:cs="TimesNewRomanPSMT"/>
          <w:color w:val="000000"/>
          <w:sz w:val="28"/>
          <w:szCs w:val="28"/>
        </w:rPr>
      </w:pPr>
    </w:p>
    <w:p w:rsidR="002E63BA" w:rsidRPr="00A2166F" w:rsidRDefault="002E63BA" w:rsidP="002E63BA">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 xml:space="preserve">Salary </w:t>
      </w:r>
      <w:r w:rsidR="00433CFD">
        <w:rPr>
          <w:rFonts w:ascii="Garamond" w:hAnsi="Garamond" w:cs="Verdana"/>
          <w:b/>
          <w:bCs/>
          <w:color w:val="002060"/>
          <w:sz w:val="28"/>
          <w:szCs w:val="28"/>
        </w:rPr>
        <w:t xml:space="preserve">Turnover </w:t>
      </w:r>
      <w:r w:rsidRPr="00A2166F">
        <w:rPr>
          <w:rFonts w:ascii="Garamond" w:hAnsi="Garamond" w:cs="Verdana"/>
          <w:b/>
          <w:bCs/>
          <w:color w:val="002060"/>
          <w:sz w:val="28"/>
          <w:szCs w:val="28"/>
        </w:rPr>
        <w:t>Savings</w:t>
      </w:r>
    </w:p>
    <w:p w:rsidR="002E63BA" w:rsidRPr="00A2166F" w:rsidRDefault="002E63BA" w:rsidP="002E63BA">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 xml:space="preserve">As part of the position management strategy, annually the anticipated salary </w:t>
      </w:r>
      <w:r w:rsidR="00433CFD">
        <w:rPr>
          <w:rFonts w:ascii="Garamond" w:hAnsi="Garamond" w:cs="Verdana"/>
          <w:color w:val="000000"/>
          <w:sz w:val="28"/>
          <w:szCs w:val="28"/>
        </w:rPr>
        <w:t xml:space="preserve">turnover </w:t>
      </w:r>
      <w:r w:rsidRPr="00A2166F">
        <w:rPr>
          <w:rFonts w:ascii="Garamond" w:hAnsi="Garamond" w:cs="Verdana"/>
          <w:color w:val="000000"/>
          <w:sz w:val="28"/>
          <w:szCs w:val="28"/>
        </w:rPr>
        <w:t xml:space="preserve">savings are budgeted upfront and are monitored throughout the fiscal year.  When a permanent position becomes vacant, the remaining salary budget is not available to the department unless there is a demonstrated critical need to </w:t>
      </w:r>
      <w:r w:rsidRPr="00A2166F">
        <w:rPr>
          <w:rFonts w:ascii="Garamond" w:hAnsi="Garamond" w:cs="Verdana"/>
          <w:b/>
          <w:color w:val="000000"/>
          <w:sz w:val="28"/>
          <w:szCs w:val="28"/>
        </w:rPr>
        <w:t>“back-fill”</w:t>
      </w:r>
      <w:r w:rsidRPr="00A2166F">
        <w:rPr>
          <w:rFonts w:ascii="Garamond" w:hAnsi="Garamond" w:cs="Verdana"/>
          <w:color w:val="000000"/>
          <w:sz w:val="28"/>
          <w:szCs w:val="28"/>
        </w:rPr>
        <w:t xml:space="preserve"> the position with a temporary employee. In these cases, the department may request “salary savings” budget to cover the temporary hire. The request is made on the Emergency Hire Form that must be reviewed and approved by Human Resources and the Office of the Treasurer.  Departments are not authorized to hire temporary staff without sufficient budget. </w:t>
      </w:r>
    </w:p>
    <w:p w:rsidR="002E63BA" w:rsidRPr="00A2166F" w:rsidRDefault="002E63BA" w:rsidP="002E63BA">
      <w:pPr>
        <w:autoSpaceDE w:val="0"/>
        <w:autoSpaceDN w:val="0"/>
        <w:adjustRightInd w:val="0"/>
        <w:spacing w:after="0" w:line="240" w:lineRule="auto"/>
        <w:rPr>
          <w:rFonts w:ascii="Garamond" w:hAnsi="Garamond" w:cs="Verdana"/>
          <w:b/>
          <w:bCs/>
          <w:color w:val="002060"/>
          <w:sz w:val="28"/>
          <w:szCs w:val="28"/>
        </w:rPr>
      </w:pPr>
    </w:p>
    <w:p w:rsidR="00925525" w:rsidRPr="00A2166F" w:rsidRDefault="00C81B42" w:rsidP="00925525">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Base Budget Adjustments</w:t>
      </w:r>
    </w:p>
    <w:p w:rsidR="00925525" w:rsidRPr="00A2166F" w:rsidRDefault="00925525" w:rsidP="00925525">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 xml:space="preserve">Changes to the </w:t>
      </w:r>
      <w:r w:rsidR="003D5019" w:rsidRPr="00A2166F">
        <w:rPr>
          <w:rFonts w:ascii="Garamond" w:hAnsi="Garamond" w:cs="TimesNewRomanPSMT"/>
          <w:color w:val="000000"/>
          <w:sz w:val="28"/>
          <w:szCs w:val="28"/>
        </w:rPr>
        <w:t>College</w:t>
      </w:r>
      <w:r w:rsidRPr="00A2166F">
        <w:rPr>
          <w:rFonts w:ascii="Garamond" w:hAnsi="Garamond" w:cs="TimesNewRomanPSMT"/>
          <w:color w:val="000000"/>
          <w:sz w:val="28"/>
          <w:szCs w:val="28"/>
        </w:rPr>
        <w:t>’s budget base are to be addressed only during the Annual Budget</w:t>
      </w:r>
      <w:r w:rsidR="001B7EDC" w:rsidRPr="00A2166F">
        <w:rPr>
          <w:rFonts w:ascii="Garamond" w:hAnsi="Garamond" w:cs="TimesNewRomanPSMT"/>
          <w:color w:val="000000"/>
          <w:sz w:val="28"/>
          <w:szCs w:val="28"/>
        </w:rPr>
        <w:t xml:space="preserve"> </w:t>
      </w:r>
      <w:r w:rsidR="003D5019" w:rsidRPr="00A2166F">
        <w:rPr>
          <w:rFonts w:ascii="Garamond" w:hAnsi="Garamond" w:cs="TimesNewRomanPSMT"/>
          <w:color w:val="000000"/>
          <w:sz w:val="28"/>
          <w:szCs w:val="28"/>
        </w:rPr>
        <w:t xml:space="preserve">Development </w:t>
      </w:r>
      <w:r w:rsidRPr="00A2166F">
        <w:rPr>
          <w:rFonts w:ascii="Garamond" w:hAnsi="Garamond" w:cs="TimesNewRomanPSMT"/>
          <w:color w:val="000000"/>
          <w:sz w:val="28"/>
          <w:szCs w:val="28"/>
        </w:rPr>
        <w:t xml:space="preserve">Process. During the fiscal year, budget managers should track </w:t>
      </w:r>
      <w:r w:rsidR="003D5019" w:rsidRPr="00A2166F">
        <w:rPr>
          <w:rFonts w:ascii="Garamond" w:hAnsi="Garamond" w:cs="TimesNewRomanPSMT"/>
          <w:color w:val="000000"/>
          <w:sz w:val="28"/>
          <w:szCs w:val="28"/>
        </w:rPr>
        <w:t xml:space="preserve">budget </w:t>
      </w:r>
      <w:r w:rsidRPr="00A2166F">
        <w:rPr>
          <w:rFonts w:ascii="Garamond" w:hAnsi="Garamond" w:cs="TimesNewRomanPSMT"/>
          <w:color w:val="000000"/>
          <w:sz w:val="28"/>
          <w:szCs w:val="28"/>
        </w:rPr>
        <w:t>allocation</w:t>
      </w:r>
      <w:r w:rsidR="003D5019" w:rsidRPr="00A2166F">
        <w:rPr>
          <w:rFonts w:ascii="Garamond" w:hAnsi="Garamond" w:cs="TimesNewRomanPSMT"/>
          <w:color w:val="000000"/>
          <w:sz w:val="28"/>
          <w:szCs w:val="28"/>
        </w:rPr>
        <w:t>s,</w:t>
      </w:r>
      <w:r w:rsidRPr="00A2166F">
        <w:rPr>
          <w:rFonts w:ascii="Garamond" w:hAnsi="Garamond" w:cs="TimesNewRomanPSMT"/>
          <w:color w:val="000000"/>
          <w:sz w:val="28"/>
          <w:szCs w:val="28"/>
        </w:rPr>
        <w:t xml:space="preserve"> the need for permanent reallocations within </w:t>
      </w:r>
      <w:r w:rsidR="003D5019" w:rsidRPr="00A2166F">
        <w:rPr>
          <w:rFonts w:ascii="Garamond" w:hAnsi="Garamond" w:cs="TimesNewRomanPSMT"/>
          <w:color w:val="000000"/>
          <w:sz w:val="28"/>
          <w:szCs w:val="28"/>
        </w:rPr>
        <w:t xml:space="preserve">departments </w:t>
      </w:r>
      <w:r w:rsidRPr="00A2166F">
        <w:rPr>
          <w:rFonts w:ascii="Garamond" w:hAnsi="Garamond" w:cs="TimesNewRomanPSMT"/>
          <w:color w:val="000000"/>
          <w:sz w:val="28"/>
          <w:szCs w:val="28"/>
        </w:rPr>
        <w:t xml:space="preserve">or </w:t>
      </w:r>
      <w:r w:rsidR="003D5019" w:rsidRPr="00A2166F">
        <w:rPr>
          <w:rFonts w:ascii="Garamond" w:hAnsi="Garamond" w:cs="TimesNewRomanPSMT"/>
          <w:color w:val="000000"/>
          <w:sz w:val="28"/>
          <w:szCs w:val="28"/>
        </w:rPr>
        <w:t>cost</w:t>
      </w:r>
      <w:r w:rsidRPr="00A2166F">
        <w:rPr>
          <w:rFonts w:ascii="Garamond" w:hAnsi="Garamond" w:cs="TimesNewRomanPSMT"/>
          <w:color w:val="000000"/>
          <w:sz w:val="28"/>
          <w:szCs w:val="28"/>
        </w:rPr>
        <w:t xml:space="preserve"> centers</w:t>
      </w:r>
      <w:r w:rsidR="003D5019" w:rsidRPr="00A2166F">
        <w:rPr>
          <w:rFonts w:ascii="Garamond" w:hAnsi="Garamond" w:cs="TimesNewRomanPSMT"/>
          <w:color w:val="000000"/>
          <w:sz w:val="28"/>
          <w:szCs w:val="28"/>
        </w:rPr>
        <w:t>.</w:t>
      </w:r>
      <w:r w:rsidRPr="00A2166F">
        <w:rPr>
          <w:rFonts w:ascii="Garamond" w:hAnsi="Garamond" w:cs="TimesNewRomanPSMT"/>
          <w:color w:val="000000"/>
          <w:sz w:val="28"/>
          <w:szCs w:val="28"/>
        </w:rPr>
        <w:t xml:space="preserve"> Instructions for permanent base adjustments </w:t>
      </w:r>
      <w:r w:rsidR="003D5019" w:rsidRPr="00A2166F">
        <w:rPr>
          <w:rFonts w:ascii="Garamond" w:hAnsi="Garamond" w:cs="TimesNewRomanPSMT"/>
          <w:color w:val="000000"/>
          <w:sz w:val="28"/>
          <w:szCs w:val="28"/>
        </w:rPr>
        <w:t xml:space="preserve">is </w:t>
      </w:r>
      <w:r w:rsidRPr="00A2166F">
        <w:rPr>
          <w:rFonts w:ascii="Garamond" w:hAnsi="Garamond" w:cs="TimesNewRomanPSMT"/>
          <w:color w:val="000000"/>
          <w:sz w:val="28"/>
          <w:szCs w:val="28"/>
        </w:rPr>
        <w:t>address in the</w:t>
      </w:r>
      <w:r w:rsidR="001B7EDC"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annual budget </w:t>
      </w:r>
      <w:r w:rsidR="003D5019" w:rsidRPr="00A2166F">
        <w:rPr>
          <w:rFonts w:ascii="Garamond" w:hAnsi="Garamond" w:cs="TimesNewRomanPSMT"/>
          <w:color w:val="000000"/>
          <w:sz w:val="28"/>
          <w:szCs w:val="28"/>
        </w:rPr>
        <w:t>communication memo</w:t>
      </w:r>
      <w:r w:rsidRPr="00A2166F">
        <w:rPr>
          <w:rFonts w:ascii="Garamond" w:hAnsi="Garamond" w:cs="TimesNewRomanPSMT"/>
          <w:color w:val="000000"/>
          <w:sz w:val="28"/>
          <w:szCs w:val="28"/>
        </w:rPr>
        <w:t>. All budgetary adjustments that will impact more than the current fiscal year should be considered base budget adjustments and</w:t>
      </w:r>
      <w:r w:rsidR="001B7EDC"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should be submitted during the Annual Budget </w:t>
      </w:r>
      <w:r w:rsidR="003D5019" w:rsidRPr="00A2166F">
        <w:rPr>
          <w:rFonts w:ascii="Garamond" w:hAnsi="Garamond" w:cs="TimesNewRomanPSMT"/>
          <w:color w:val="000000"/>
          <w:sz w:val="28"/>
          <w:szCs w:val="28"/>
        </w:rPr>
        <w:t xml:space="preserve">Development </w:t>
      </w:r>
      <w:r w:rsidRPr="00A2166F">
        <w:rPr>
          <w:rFonts w:ascii="Garamond" w:hAnsi="Garamond" w:cs="TimesNewRomanPSMT"/>
          <w:color w:val="000000"/>
          <w:sz w:val="28"/>
          <w:szCs w:val="28"/>
        </w:rPr>
        <w:t>Process.</w:t>
      </w:r>
    </w:p>
    <w:p w:rsidR="001B7EDC" w:rsidRPr="00A2166F" w:rsidRDefault="001B7EDC" w:rsidP="00925525">
      <w:pPr>
        <w:autoSpaceDE w:val="0"/>
        <w:autoSpaceDN w:val="0"/>
        <w:adjustRightInd w:val="0"/>
        <w:spacing w:after="0" w:line="240" w:lineRule="auto"/>
        <w:rPr>
          <w:rFonts w:ascii="Garamond" w:hAnsi="Garamond" w:cs="TimesNewRomanPSMT"/>
          <w:color w:val="000000"/>
          <w:sz w:val="28"/>
          <w:szCs w:val="28"/>
        </w:rPr>
      </w:pPr>
    </w:p>
    <w:p w:rsidR="00925525" w:rsidRPr="00A2166F" w:rsidRDefault="00582163" w:rsidP="00925525">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Non-salary Expenses</w:t>
      </w:r>
    </w:p>
    <w:p w:rsidR="00925525" w:rsidRPr="00A2166F" w:rsidRDefault="00582163" w:rsidP="00925525">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Non-salary</w:t>
      </w:r>
      <w:r w:rsidR="00925525" w:rsidRPr="00A2166F">
        <w:rPr>
          <w:rFonts w:ascii="Garamond" w:hAnsi="Garamond" w:cs="TimesNewRomanPSMT"/>
          <w:color w:val="000000"/>
          <w:sz w:val="28"/>
          <w:szCs w:val="28"/>
        </w:rPr>
        <w:t xml:space="preserve"> expenses fall into two </w:t>
      </w:r>
      <w:r w:rsidRPr="00A2166F">
        <w:rPr>
          <w:rFonts w:ascii="Garamond" w:hAnsi="Garamond" w:cs="TimesNewRomanPSMT"/>
          <w:color w:val="000000"/>
          <w:sz w:val="28"/>
          <w:szCs w:val="28"/>
        </w:rPr>
        <w:t xml:space="preserve">primary </w:t>
      </w:r>
      <w:r w:rsidR="00925525" w:rsidRPr="00A2166F">
        <w:rPr>
          <w:rFonts w:ascii="Garamond" w:hAnsi="Garamond" w:cs="TimesNewRomanPSMT"/>
          <w:color w:val="000000"/>
          <w:sz w:val="28"/>
          <w:szCs w:val="28"/>
        </w:rPr>
        <w:t>categories, pooled and non-pooled. Pooled expenses encompass</w:t>
      </w:r>
      <w:r w:rsidR="003E4099" w:rsidRPr="00A2166F">
        <w:rPr>
          <w:rFonts w:ascii="Garamond" w:hAnsi="Garamond" w:cs="TimesNewRomanPSMT"/>
          <w:color w:val="000000"/>
          <w:sz w:val="28"/>
          <w:szCs w:val="28"/>
        </w:rPr>
        <w:t xml:space="preserve"> </w:t>
      </w:r>
      <w:r w:rsidR="00925525" w:rsidRPr="00A2166F">
        <w:rPr>
          <w:rFonts w:ascii="Garamond" w:hAnsi="Garamond" w:cs="TimesNewRomanPSMT"/>
          <w:color w:val="000000"/>
          <w:sz w:val="28"/>
          <w:szCs w:val="28"/>
        </w:rPr>
        <w:t xml:space="preserve">numerous expenditure codes </w:t>
      </w:r>
      <w:r w:rsidR="000A4A5C" w:rsidRPr="00A2166F">
        <w:rPr>
          <w:rFonts w:ascii="Garamond" w:hAnsi="Garamond" w:cs="TimesNewRomanPSMT"/>
          <w:color w:val="000000"/>
          <w:sz w:val="28"/>
          <w:szCs w:val="28"/>
        </w:rPr>
        <w:t>(i.e. 53</w:t>
      </w:r>
      <w:r w:rsidRPr="00A2166F">
        <w:rPr>
          <w:rFonts w:ascii="Garamond" w:hAnsi="Garamond" w:cs="TimesNewRomanPSMT"/>
          <w:color w:val="000000"/>
          <w:sz w:val="28"/>
          <w:szCs w:val="28"/>
        </w:rPr>
        <w:t>x</w:t>
      </w:r>
      <w:r w:rsidR="000A4A5C" w:rsidRPr="00A2166F">
        <w:rPr>
          <w:rFonts w:ascii="Garamond" w:hAnsi="Garamond" w:cs="TimesNewRomanPSMT"/>
          <w:color w:val="000000"/>
          <w:sz w:val="28"/>
          <w:szCs w:val="28"/>
        </w:rPr>
        <w:t>xx</w:t>
      </w:r>
      <w:r w:rsidRPr="00A2166F">
        <w:rPr>
          <w:rFonts w:ascii="Garamond" w:hAnsi="Garamond" w:cs="TimesNewRomanPSMT"/>
          <w:color w:val="000000"/>
          <w:sz w:val="28"/>
          <w:szCs w:val="28"/>
        </w:rPr>
        <w:t>- general supplies</w:t>
      </w:r>
      <w:r w:rsidR="000A4A5C" w:rsidRPr="00A2166F">
        <w:rPr>
          <w:rFonts w:ascii="Garamond" w:hAnsi="Garamond" w:cs="TimesNewRomanPSMT"/>
          <w:color w:val="000000"/>
          <w:sz w:val="28"/>
          <w:szCs w:val="28"/>
        </w:rPr>
        <w:t xml:space="preserve">) </w:t>
      </w:r>
      <w:r w:rsidR="00925525" w:rsidRPr="00A2166F">
        <w:rPr>
          <w:rFonts w:ascii="Garamond" w:hAnsi="Garamond" w:cs="TimesNewRomanPSMT"/>
          <w:color w:val="000000"/>
          <w:sz w:val="28"/>
          <w:szCs w:val="28"/>
        </w:rPr>
        <w:t>that have been grouped to provide greater flexibility to budget</w:t>
      </w:r>
      <w:r w:rsidR="003E4099" w:rsidRPr="00A2166F">
        <w:rPr>
          <w:rFonts w:ascii="Garamond" w:hAnsi="Garamond" w:cs="TimesNewRomanPSMT"/>
          <w:color w:val="000000"/>
          <w:sz w:val="28"/>
          <w:szCs w:val="28"/>
        </w:rPr>
        <w:t xml:space="preserve"> </w:t>
      </w:r>
      <w:r w:rsidR="00925525" w:rsidRPr="00A2166F">
        <w:rPr>
          <w:rFonts w:ascii="Garamond" w:hAnsi="Garamond" w:cs="TimesNewRomanPSMT"/>
          <w:color w:val="000000"/>
          <w:sz w:val="28"/>
          <w:szCs w:val="28"/>
        </w:rPr>
        <w:t xml:space="preserve">managers in the </w:t>
      </w:r>
      <w:r w:rsidR="00925525" w:rsidRPr="00A2166F">
        <w:rPr>
          <w:rFonts w:ascii="Garamond" w:hAnsi="Garamond" w:cs="TimesNewRomanPSMT"/>
          <w:color w:val="000000"/>
          <w:sz w:val="28"/>
          <w:szCs w:val="28"/>
        </w:rPr>
        <w:lastRenderedPageBreak/>
        <w:t>implementation of the expenditure budget. Although the budget is initially</w:t>
      </w:r>
      <w:r w:rsidR="003E4099" w:rsidRPr="00A2166F">
        <w:rPr>
          <w:rFonts w:ascii="Garamond" w:hAnsi="Garamond" w:cs="TimesNewRomanPSMT"/>
          <w:color w:val="000000"/>
          <w:sz w:val="28"/>
          <w:szCs w:val="28"/>
        </w:rPr>
        <w:t xml:space="preserve"> </w:t>
      </w:r>
      <w:r w:rsidR="00925525" w:rsidRPr="00A2166F">
        <w:rPr>
          <w:rFonts w:ascii="Garamond" w:hAnsi="Garamond" w:cs="TimesNewRomanPSMT"/>
          <w:color w:val="000000"/>
          <w:sz w:val="28"/>
          <w:szCs w:val="28"/>
        </w:rPr>
        <w:t xml:space="preserve">loaded at the commitment </w:t>
      </w:r>
      <w:r w:rsidR="000A4A5C" w:rsidRPr="00A2166F">
        <w:rPr>
          <w:rFonts w:ascii="Garamond" w:hAnsi="Garamond" w:cs="TimesNewRomanPSMT"/>
          <w:color w:val="000000"/>
          <w:sz w:val="28"/>
          <w:szCs w:val="28"/>
        </w:rPr>
        <w:t>account</w:t>
      </w:r>
      <w:r w:rsidR="00925525" w:rsidRPr="00A2166F">
        <w:rPr>
          <w:rFonts w:ascii="Garamond" w:hAnsi="Garamond" w:cs="TimesNewRomanPSMT"/>
          <w:color w:val="000000"/>
          <w:sz w:val="28"/>
          <w:szCs w:val="28"/>
        </w:rPr>
        <w:t xml:space="preserve"> code level, the pooled concept permits fluctuation between</w:t>
      </w:r>
      <w:r w:rsidR="003E4099" w:rsidRPr="00A2166F">
        <w:rPr>
          <w:rFonts w:ascii="Garamond" w:hAnsi="Garamond" w:cs="TimesNewRomanPSMT"/>
          <w:color w:val="000000"/>
          <w:sz w:val="28"/>
          <w:szCs w:val="28"/>
        </w:rPr>
        <w:t xml:space="preserve"> </w:t>
      </w:r>
      <w:r w:rsidR="00925525" w:rsidRPr="00A2166F">
        <w:rPr>
          <w:rFonts w:ascii="Garamond" w:hAnsi="Garamond" w:cs="TimesNewRomanPSMT"/>
          <w:color w:val="000000"/>
          <w:sz w:val="28"/>
          <w:szCs w:val="28"/>
        </w:rPr>
        <w:t xml:space="preserve">the expense lines within the aggregate total of the pooled codes. </w:t>
      </w:r>
      <w:r w:rsidR="000A4A5C" w:rsidRPr="00A2166F">
        <w:rPr>
          <w:rFonts w:ascii="Garamond" w:hAnsi="Garamond" w:cs="TimesNewRomanPSMT"/>
          <w:color w:val="000000"/>
          <w:sz w:val="28"/>
          <w:szCs w:val="28"/>
        </w:rPr>
        <w:t>The balances for n</w:t>
      </w:r>
      <w:r w:rsidR="00925525" w:rsidRPr="00A2166F">
        <w:rPr>
          <w:rFonts w:ascii="Garamond" w:hAnsi="Garamond" w:cs="TimesNewRomanPSMT"/>
          <w:color w:val="000000"/>
          <w:sz w:val="28"/>
          <w:szCs w:val="28"/>
        </w:rPr>
        <w:t xml:space="preserve">on-pooled </w:t>
      </w:r>
      <w:r w:rsidR="000A4A5C" w:rsidRPr="00A2166F">
        <w:rPr>
          <w:rFonts w:ascii="Garamond" w:hAnsi="Garamond" w:cs="TimesNewRomanPSMT"/>
          <w:color w:val="000000"/>
          <w:sz w:val="28"/>
          <w:szCs w:val="28"/>
        </w:rPr>
        <w:t>accounts (i.e. 56xxx</w:t>
      </w:r>
      <w:r w:rsidRPr="00A2166F">
        <w:rPr>
          <w:rFonts w:ascii="Garamond" w:hAnsi="Garamond" w:cs="TimesNewRomanPSMT"/>
          <w:color w:val="000000"/>
          <w:sz w:val="28"/>
          <w:szCs w:val="28"/>
        </w:rPr>
        <w:t xml:space="preserve"> – institutional commitments</w:t>
      </w:r>
      <w:r w:rsidR="000A4A5C" w:rsidRPr="00A2166F">
        <w:rPr>
          <w:rFonts w:ascii="Garamond" w:hAnsi="Garamond" w:cs="TimesNewRomanPSMT"/>
          <w:color w:val="000000"/>
          <w:sz w:val="28"/>
          <w:szCs w:val="28"/>
        </w:rPr>
        <w:t xml:space="preserve">) are </w:t>
      </w:r>
      <w:r w:rsidR="00925525" w:rsidRPr="00A2166F">
        <w:rPr>
          <w:rFonts w:ascii="Garamond" w:hAnsi="Garamond" w:cs="TimesNewRomanPSMT"/>
          <w:color w:val="000000"/>
          <w:sz w:val="28"/>
          <w:szCs w:val="28"/>
        </w:rPr>
        <w:t xml:space="preserve">track </w:t>
      </w:r>
      <w:r w:rsidR="000A4A5C" w:rsidRPr="00A2166F">
        <w:rPr>
          <w:rFonts w:ascii="Garamond" w:hAnsi="Garamond" w:cs="TimesNewRomanPSMT"/>
          <w:color w:val="000000"/>
          <w:sz w:val="28"/>
          <w:szCs w:val="28"/>
        </w:rPr>
        <w:t>at the individual account level</w:t>
      </w:r>
      <w:r w:rsidR="00925525" w:rsidRPr="00A2166F">
        <w:rPr>
          <w:rFonts w:ascii="Garamond" w:hAnsi="Garamond" w:cs="TimesNewRomanPSMT"/>
          <w:color w:val="000000"/>
          <w:sz w:val="28"/>
          <w:szCs w:val="28"/>
        </w:rPr>
        <w:t>.</w:t>
      </w:r>
    </w:p>
    <w:p w:rsidR="003E4099" w:rsidRPr="00A2166F" w:rsidRDefault="003E4099" w:rsidP="00925525">
      <w:pPr>
        <w:autoSpaceDE w:val="0"/>
        <w:autoSpaceDN w:val="0"/>
        <w:adjustRightInd w:val="0"/>
        <w:spacing w:after="0" w:line="240" w:lineRule="auto"/>
        <w:rPr>
          <w:rFonts w:ascii="Garamond" w:hAnsi="Garamond" w:cs="TimesNewRomanPSMT"/>
          <w:color w:val="000000"/>
          <w:sz w:val="28"/>
          <w:szCs w:val="28"/>
        </w:rPr>
      </w:pPr>
    </w:p>
    <w:p w:rsidR="00925525" w:rsidRPr="00A2166F" w:rsidRDefault="00FA7236" w:rsidP="00925525">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M</w:t>
      </w:r>
      <w:r w:rsidR="00582163" w:rsidRPr="00A2166F">
        <w:rPr>
          <w:rFonts w:ascii="Garamond" w:hAnsi="Garamond" w:cs="TimesNewRomanPS-BoldMT"/>
          <w:b/>
          <w:bCs/>
          <w:color w:val="002060"/>
          <w:sz w:val="28"/>
          <w:szCs w:val="28"/>
        </w:rPr>
        <w:t>andatory Costs</w:t>
      </w:r>
    </w:p>
    <w:p w:rsidR="00925525" w:rsidRPr="00A2166F" w:rsidRDefault="00925525" w:rsidP="00925525">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 xml:space="preserve">The operating budget recognizes a class of accounts designated as </w:t>
      </w:r>
      <w:r w:rsidR="00FA7236" w:rsidRPr="00A2166F">
        <w:rPr>
          <w:rFonts w:ascii="Garamond" w:hAnsi="Garamond" w:cs="TimesNewRomanPSMT"/>
          <w:color w:val="000000"/>
          <w:sz w:val="28"/>
          <w:szCs w:val="28"/>
        </w:rPr>
        <w:t>mandatory</w:t>
      </w:r>
      <w:r w:rsidRPr="00A2166F">
        <w:rPr>
          <w:rFonts w:ascii="Garamond" w:hAnsi="Garamond" w:cs="TimesNewRomanPSMT"/>
          <w:color w:val="000000"/>
          <w:sz w:val="28"/>
          <w:szCs w:val="28"/>
        </w:rPr>
        <w:t xml:space="preserve"> costs. </w:t>
      </w:r>
      <w:r w:rsidR="00FA7236" w:rsidRPr="00A2166F">
        <w:rPr>
          <w:rFonts w:ascii="Garamond" w:hAnsi="Garamond" w:cs="TimesNewRomanPSMT"/>
          <w:color w:val="000000"/>
          <w:sz w:val="28"/>
          <w:szCs w:val="28"/>
        </w:rPr>
        <w:t>These</w:t>
      </w:r>
      <w:r w:rsidRPr="00A2166F">
        <w:rPr>
          <w:rFonts w:ascii="Garamond" w:hAnsi="Garamond" w:cs="TimesNewRomanPSMT"/>
          <w:color w:val="000000"/>
          <w:sz w:val="28"/>
          <w:szCs w:val="28"/>
        </w:rPr>
        <w:t xml:space="preserve"> costs are</w:t>
      </w:r>
      <w:r w:rsidR="003E4099"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items that offer very limited choice in terms of funding </w:t>
      </w:r>
      <w:r w:rsidR="00FA7236" w:rsidRPr="00A2166F">
        <w:rPr>
          <w:rFonts w:ascii="Garamond" w:hAnsi="Garamond" w:cs="TimesNewRomanPSMT"/>
          <w:color w:val="000000"/>
          <w:sz w:val="28"/>
          <w:szCs w:val="28"/>
        </w:rPr>
        <w:t>and are</w:t>
      </w:r>
      <w:r w:rsidRPr="00A2166F">
        <w:rPr>
          <w:rFonts w:ascii="Garamond" w:hAnsi="Garamond" w:cs="TimesNewRomanPSMT"/>
          <w:color w:val="000000"/>
          <w:sz w:val="28"/>
          <w:szCs w:val="28"/>
        </w:rPr>
        <w:t xml:space="preserve"> budgeted as </w:t>
      </w:r>
      <w:r w:rsidR="00FA7236" w:rsidRPr="00A2166F">
        <w:rPr>
          <w:rFonts w:ascii="Garamond" w:hAnsi="Garamond" w:cs="TimesNewRomanPSMT"/>
          <w:color w:val="000000"/>
          <w:sz w:val="28"/>
          <w:szCs w:val="28"/>
        </w:rPr>
        <w:t>institutional</w:t>
      </w:r>
      <w:r w:rsidRPr="00A2166F">
        <w:rPr>
          <w:rFonts w:ascii="Garamond" w:hAnsi="Garamond" w:cs="TimesNewRomanPSMT"/>
          <w:color w:val="000000"/>
          <w:sz w:val="28"/>
          <w:szCs w:val="28"/>
        </w:rPr>
        <w:t xml:space="preserve"> priority</w:t>
      </w:r>
      <w:r w:rsidR="00FA7236" w:rsidRPr="00A2166F">
        <w:rPr>
          <w:rFonts w:ascii="Garamond" w:hAnsi="Garamond" w:cs="TimesNewRomanPSMT"/>
          <w:color w:val="000000"/>
          <w:sz w:val="28"/>
          <w:szCs w:val="28"/>
        </w:rPr>
        <w:t xml:space="preserve"> (i.e. debt service, insurance, fuel &amp; utilities)</w:t>
      </w:r>
      <w:r w:rsidRPr="00A2166F">
        <w:rPr>
          <w:rFonts w:ascii="Garamond" w:hAnsi="Garamond" w:cs="TimesNewRomanPSMT"/>
          <w:color w:val="000000"/>
          <w:sz w:val="28"/>
          <w:szCs w:val="28"/>
        </w:rPr>
        <w:t xml:space="preserve">. </w:t>
      </w:r>
      <w:r w:rsidR="00CB4188" w:rsidRPr="00A2166F">
        <w:rPr>
          <w:rFonts w:ascii="Garamond" w:hAnsi="Garamond" w:cs="TimesNewRomanPSMT"/>
          <w:color w:val="000000"/>
          <w:sz w:val="28"/>
          <w:szCs w:val="28"/>
        </w:rPr>
        <w:t xml:space="preserve"> </w:t>
      </w:r>
      <w:r w:rsidR="00FA7236" w:rsidRPr="00A2166F">
        <w:rPr>
          <w:rFonts w:ascii="Garamond" w:hAnsi="Garamond" w:cs="TimesNewRomanPSMT"/>
          <w:color w:val="000000"/>
          <w:sz w:val="28"/>
          <w:szCs w:val="28"/>
        </w:rPr>
        <w:t xml:space="preserve">Budget allocation for mandatory </w:t>
      </w:r>
      <w:r w:rsidRPr="00A2166F">
        <w:rPr>
          <w:rFonts w:ascii="Garamond" w:hAnsi="Garamond" w:cs="TimesNewRomanPSMT"/>
          <w:color w:val="000000"/>
          <w:sz w:val="28"/>
          <w:szCs w:val="28"/>
        </w:rPr>
        <w:t>cost dollars in excess of actual costs are a central resource and may not be</w:t>
      </w:r>
      <w:r w:rsidR="003E4099"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used for any other purposes.</w:t>
      </w:r>
      <w:r w:rsidR="00FA7236"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Actual costs in excess of the budgeted </w:t>
      </w:r>
      <w:r w:rsidR="00FA7236" w:rsidRPr="00A2166F">
        <w:rPr>
          <w:rFonts w:ascii="Garamond" w:hAnsi="Garamond" w:cs="TimesNewRomanPSMT"/>
          <w:color w:val="000000"/>
          <w:sz w:val="28"/>
          <w:szCs w:val="28"/>
        </w:rPr>
        <w:t>allocation</w:t>
      </w:r>
      <w:r w:rsidRPr="00A2166F">
        <w:rPr>
          <w:rFonts w:ascii="Garamond" w:hAnsi="Garamond" w:cs="TimesNewRomanPSMT"/>
          <w:color w:val="000000"/>
          <w:sz w:val="28"/>
          <w:szCs w:val="28"/>
        </w:rPr>
        <w:t xml:space="preserve"> may be funded by savings in</w:t>
      </w:r>
      <w:r w:rsidR="00FA7236"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other </w:t>
      </w:r>
      <w:r w:rsidR="00FA7236" w:rsidRPr="00A2166F">
        <w:rPr>
          <w:rFonts w:ascii="Garamond" w:hAnsi="Garamond" w:cs="TimesNewRomanPSMT"/>
          <w:color w:val="000000"/>
          <w:sz w:val="28"/>
          <w:szCs w:val="28"/>
        </w:rPr>
        <w:t>mandatory</w:t>
      </w:r>
      <w:r w:rsidRPr="00A2166F">
        <w:rPr>
          <w:rFonts w:ascii="Garamond" w:hAnsi="Garamond" w:cs="TimesNewRomanPSMT"/>
          <w:color w:val="000000"/>
          <w:sz w:val="28"/>
          <w:szCs w:val="28"/>
        </w:rPr>
        <w:t xml:space="preserve"> cost categories within the </w:t>
      </w:r>
      <w:r w:rsidR="00FA7236" w:rsidRPr="00A2166F">
        <w:rPr>
          <w:rFonts w:ascii="Garamond" w:hAnsi="Garamond" w:cs="TimesNewRomanPSMT"/>
          <w:color w:val="000000"/>
          <w:sz w:val="28"/>
          <w:szCs w:val="28"/>
        </w:rPr>
        <w:t>College’s budget</w:t>
      </w:r>
      <w:r w:rsidRPr="00A2166F">
        <w:rPr>
          <w:rFonts w:ascii="Garamond" w:hAnsi="Garamond" w:cs="TimesNewRomanPSMT"/>
          <w:color w:val="000000"/>
          <w:sz w:val="28"/>
          <w:szCs w:val="28"/>
        </w:rPr>
        <w:t xml:space="preserve">. </w:t>
      </w:r>
    </w:p>
    <w:p w:rsidR="00FA7236" w:rsidRPr="00A2166F" w:rsidRDefault="00FA7236" w:rsidP="00925525">
      <w:pPr>
        <w:autoSpaceDE w:val="0"/>
        <w:autoSpaceDN w:val="0"/>
        <w:adjustRightInd w:val="0"/>
        <w:spacing w:after="0" w:line="240" w:lineRule="auto"/>
        <w:rPr>
          <w:rFonts w:ascii="Garamond" w:hAnsi="Garamond" w:cs="TimesNewRomanPSMT"/>
          <w:color w:val="000000"/>
          <w:sz w:val="28"/>
          <w:szCs w:val="28"/>
        </w:rPr>
      </w:pPr>
    </w:p>
    <w:p w:rsidR="003E4099" w:rsidRPr="00A2166F" w:rsidRDefault="003E4099" w:rsidP="00925525">
      <w:pPr>
        <w:autoSpaceDE w:val="0"/>
        <w:autoSpaceDN w:val="0"/>
        <w:adjustRightInd w:val="0"/>
        <w:spacing w:after="0" w:line="240" w:lineRule="auto"/>
        <w:rPr>
          <w:rFonts w:ascii="Garamond" w:hAnsi="Garamond" w:cs="TimesNewRomanPS-BoldMT"/>
          <w:b/>
          <w:bCs/>
          <w:color w:val="000000"/>
          <w:sz w:val="28"/>
          <w:szCs w:val="28"/>
        </w:rPr>
      </w:pPr>
    </w:p>
    <w:p w:rsidR="00925525" w:rsidRPr="00A2166F" w:rsidRDefault="00925525" w:rsidP="00925525">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S</w:t>
      </w:r>
      <w:r w:rsidR="00582163" w:rsidRPr="00A2166F">
        <w:rPr>
          <w:rFonts w:ascii="Garamond" w:hAnsi="Garamond" w:cs="TimesNewRomanPS-BoldMT"/>
          <w:b/>
          <w:bCs/>
          <w:color w:val="002060"/>
          <w:sz w:val="28"/>
          <w:szCs w:val="28"/>
        </w:rPr>
        <w:t>upplemental Funding Allocation</w:t>
      </w:r>
    </w:p>
    <w:p w:rsidR="00F1680A" w:rsidRPr="00A2166F" w:rsidRDefault="00925525" w:rsidP="00925525">
      <w:pPr>
        <w:autoSpaceDE w:val="0"/>
        <w:autoSpaceDN w:val="0"/>
        <w:adjustRightInd w:val="0"/>
        <w:spacing w:after="0" w:line="240" w:lineRule="auto"/>
        <w:rPr>
          <w:rFonts w:ascii="Garamond" w:hAnsi="Garamond" w:cs="TimesNewRomanPSMT"/>
          <w:color w:val="000000"/>
          <w:sz w:val="28"/>
          <w:szCs w:val="28"/>
        </w:rPr>
      </w:pPr>
      <w:r w:rsidRPr="00A2166F">
        <w:rPr>
          <w:rFonts w:ascii="Garamond" w:hAnsi="Garamond" w:cs="TimesNewRomanPSMT"/>
          <w:color w:val="000000"/>
          <w:sz w:val="28"/>
          <w:szCs w:val="28"/>
        </w:rPr>
        <w:t>Under emergency or special conditions, a vice president may find it necessary to request funding</w:t>
      </w:r>
      <w:r w:rsidR="00303CC3"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outside of the annual budget process. This request should be advanced to the </w:t>
      </w:r>
      <w:r w:rsidR="00582163" w:rsidRPr="00A2166F">
        <w:rPr>
          <w:rFonts w:ascii="Garamond" w:hAnsi="Garamond" w:cs="TimesNewRomanPSMT"/>
          <w:color w:val="000000"/>
          <w:sz w:val="28"/>
          <w:szCs w:val="28"/>
        </w:rPr>
        <w:t>O</w:t>
      </w:r>
      <w:r w:rsidRPr="00A2166F">
        <w:rPr>
          <w:rFonts w:ascii="Garamond" w:hAnsi="Garamond" w:cs="TimesNewRomanPSMT"/>
          <w:color w:val="000000"/>
          <w:sz w:val="28"/>
          <w:szCs w:val="28"/>
        </w:rPr>
        <w:t>ffice of the</w:t>
      </w:r>
      <w:r w:rsidR="00303CC3" w:rsidRPr="00A2166F">
        <w:rPr>
          <w:rFonts w:ascii="Garamond" w:hAnsi="Garamond" w:cs="TimesNewRomanPSMT"/>
          <w:color w:val="000000"/>
          <w:sz w:val="28"/>
          <w:szCs w:val="28"/>
        </w:rPr>
        <w:t xml:space="preserve"> </w:t>
      </w:r>
      <w:r w:rsidR="00582163" w:rsidRPr="00A2166F">
        <w:rPr>
          <w:rFonts w:ascii="Garamond" w:hAnsi="Garamond" w:cs="TimesNewRomanPSMT"/>
          <w:color w:val="000000"/>
          <w:sz w:val="28"/>
          <w:szCs w:val="28"/>
        </w:rPr>
        <w:t>T</w:t>
      </w:r>
      <w:r w:rsidR="00823964" w:rsidRPr="00A2166F">
        <w:rPr>
          <w:rFonts w:ascii="Garamond" w:hAnsi="Garamond" w:cs="TimesNewRomanPSMT"/>
          <w:color w:val="000000"/>
          <w:sz w:val="28"/>
          <w:szCs w:val="28"/>
        </w:rPr>
        <w:t>reasurer</w:t>
      </w:r>
      <w:r w:rsidRPr="00A2166F">
        <w:rPr>
          <w:rFonts w:ascii="Garamond" w:hAnsi="Garamond" w:cs="TimesNewRomanPSMT"/>
          <w:color w:val="000000"/>
          <w:sz w:val="28"/>
          <w:szCs w:val="28"/>
        </w:rPr>
        <w:t xml:space="preserve"> using a “One-Time Supplemental </w:t>
      </w:r>
      <w:r w:rsidR="00823964" w:rsidRPr="00A2166F">
        <w:rPr>
          <w:rFonts w:ascii="Garamond" w:hAnsi="Garamond" w:cs="TimesNewRomanPSMT"/>
          <w:color w:val="000000"/>
          <w:sz w:val="28"/>
          <w:szCs w:val="28"/>
        </w:rPr>
        <w:t>Budget</w:t>
      </w:r>
      <w:r w:rsidRPr="00A2166F">
        <w:rPr>
          <w:rFonts w:ascii="Garamond" w:hAnsi="Garamond" w:cs="TimesNewRomanPSMT"/>
          <w:color w:val="000000"/>
          <w:sz w:val="28"/>
          <w:szCs w:val="28"/>
        </w:rPr>
        <w:t xml:space="preserve"> </w:t>
      </w:r>
      <w:r w:rsidR="00823964" w:rsidRPr="00A2166F">
        <w:rPr>
          <w:rFonts w:ascii="Garamond" w:hAnsi="Garamond" w:cs="TimesNewRomanPSMT"/>
          <w:color w:val="000000"/>
          <w:sz w:val="28"/>
          <w:szCs w:val="28"/>
        </w:rPr>
        <w:t>Request</w:t>
      </w:r>
      <w:r w:rsidRPr="00A2166F">
        <w:rPr>
          <w:rFonts w:ascii="Garamond" w:hAnsi="Garamond" w:cs="TimesNewRomanPSMT"/>
          <w:color w:val="000000"/>
          <w:sz w:val="28"/>
          <w:szCs w:val="28"/>
        </w:rPr>
        <w:t>” form. This request must address</w:t>
      </w:r>
      <w:r w:rsidR="00303CC3"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whether the funding is also required on a recurring or future year basis. </w:t>
      </w:r>
      <w:r w:rsidR="00F1680A" w:rsidRPr="00A2166F">
        <w:rPr>
          <w:rFonts w:ascii="Garamond" w:hAnsi="Garamond" w:cs="TimesNewRomanPSMT"/>
          <w:color w:val="000000"/>
          <w:sz w:val="28"/>
          <w:szCs w:val="28"/>
        </w:rPr>
        <w:t xml:space="preserve"> All personnel supplemental requests require review by the Cabinet and final approval by the President. </w:t>
      </w:r>
    </w:p>
    <w:p w:rsidR="00F1680A" w:rsidRPr="00A2166F" w:rsidRDefault="00F1680A" w:rsidP="00925525">
      <w:pPr>
        <w:autoSpaceDE w:val="0"/>
        <w:autoSpaceDN w:val="0"/>
        <w:adjustRightInd w:val="0"/>
        <w:spacing w:after="0" w:line="240" w:lineRule="auto"/>
        <w:rPr>
          <w:rFonts w:ascii="Garamond" w:hAnsi="Garamond" w:cs="TimesNewRomanPSMT"/>
          <w:color w:val="000000"/>
          <w:sz w:val="28"/>
          <w:szCs w:val="28"/>
        </w:rPr>
      </w:pPr>
    </w:p>
    <w:p w:rsidR="00925525" w:rsidRPr="00A2166F" w:rsidRDefault="00925525" w:rsidP="00925525">
      <w:pPr>
        <w:autoSpaceDE w:val="0"/>
        <w:autoSpaceDN w:val="0"/>
        <w:adjustRightInd w:val="0"/>
        <w:spacing w:after="0" w:line="240" w:lineRule="auto"/>
        <w:rPr>
          <w:rFonts w:ascii="Garamond" w:hAnsi="Garamond" w:cs="TimesNewRomanPS-BoldMT"/>
          <w:b/>
          <w:bCs/>
          <w:color w:val="002060"/>
          <w:sz w:val="28"/>
          <w:szCs w:val="28"/>
        </w:rPr>
      </w:pPr>
      <w:r w:rsidRPr="00A2166F">
        <w:rPr>
          <w:rFonts w:ascii="Garamond" w:hAnsi="Garamond" w:cs="TimesNewRomanPS-BoldMT"/>
          <w:b/>
          <w:bCs/>
          <w:color w:val="002060"/>
          <w:sz w:val="28"/>
          <w:szCs w:val="28"/>
        </w:rPr>
        <w:t>C</w:t>
      </w:r>
      <w:r w:rsidR="00F70C26" w:rsidRPr="00A2166F">
        <w:rPr>
          <w:rFonts w:ascii="Garamond" w:hAnsi="Garamond" w:cs="TimesNewRomanPS-BoldMT"/>
          <w:b/>
          <w:bCs/>
          <w:color w:val="002060"/>
          <w:sz w:val="28"/>
          <w:szCs w:val="28"/>
        </w:rPr>
        <w:t>arryforward Requests</w:t>
      </w:r>
    </w:p>
    <w:p w:rsidR="008B19D9" w:rsidRPr="00A2166F" w:rsidRDefault="00925525" w:rsidP="008B19D9">
      <w:pPr>
        <w:autoSpaceDE w:val="0"/>
        <w:autoSpaceDN w:val="0"/>
        <w:adjustRightInd w:val="0"/>
        <w:spacing w:after="0" w:line="240" w:lineRule="auto"/>
        <w:rPr>
          <w:rFonts w:ascii="Garamond" w:hAnsi="Garamond"/>
          <w:sz w:val="28"/>
          <w:szCs w:val="28"/>
        </w:rPr>
      </w:pPr>
      <w:r w:rsidRPr="00A2166F">
        <w:rPr>
          <w:rFonts w:ascii="Garamond" w:hAnsi="Garamond" w:cs="TimesNewRomanPSMT"/>
          <w:color w:val="000000"/>
          <w:sz w:val="28"/>
          <w:szCs w:val="28"/>
        </w:rPr>
        <w:t xml:space="preserve">The </w:t>
      </w:r>
      <w:r w:rsidR="007034C3" w:rsidRPr="00A2166F">
        <w:rPr>
          <w:rFonts w:ascii="Garamond" w:hAnsi="Garamond" w:cs="TimesNewRomanPSMT"/>
          <w:color w:val="000000"/>
          <w:sz w:val="28"/>
          <w:szCs w:val="28"/>
        </w:rPr>
        <w:t>College</w:t>
      </w:r>
      <w:r w:rsidRPr="00A2166F">
        <w:rPr>
          <w:rFonts w:ascii="Garamond" w:hAnsi="Garamond" w:cs="TimesNewRomanPSMT"/>
          <w:color w:val="000000"/>
          <w:sz w:val="28"/>
          <w:szCs w:val="28"/>
        </w:rPr>
        <w:t xml:space="preserve"> budget represents a financial plan for the fiscal year July 1 through June 30.</w:t>
      </w:r>
      <w:r w:rsidR="00303CC3"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Dollars are allocated to provide for the operation of institutional programs and</w:t>
      </w:r>
      <w:r w:rsidR="00303CC3"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services, and it is anticipated that those dollars will normally be expended in a prudent and</w:t>
      </w:r>
      <w:r w:rsidR="00303CC3" w:rsidRPr="00A2166F">
        <w:rPr>
          <w:rFonts w:ascii="Garamond" w:hAnsi="Garamond" w:cs="TimesNewRomanPSMT"/>
          <w:color w:val="000000"/>
          <w:sz w:val="28"/>
          <w:szCs w:val="28"/>
        </w:rPr>
        <w:t xml:space="preserve"> </w:t>
      </w:r>
      <w:r w:rsidRPr="00A2166F">
        <w:rPr>
          <w:rFonts w:ascii="Garamond" w:hAnsi="Garamond" w:cs="TimesNewRomanPSMT"/>
          <w:color w:val="000000"/>
          <w:sz w:val="28"/>
          <w:szCs w:val="28"/>
        </w:rPr>
        <w:t xml:space="preserve">timely fashion. </w:t>
      </w:r>
      <w:r w:rsidR="008B19D9" w:rsidRPr="00A2166F">
        <w:rPr>
          <w:rFonts w:ascii="Garamond" w:hAnsi="Garamond" w:cs="TimesNewRomanPSMT"/>
          <w:color w:val="000000"/>
          <w:sz w:val="28"/>
          <w:szCs w:val="28"/>
        </w:rPr>
        <w:t xml:space="preserve">As a means of providing greater budgetary flexibility to budget managers, the College allows for special carry forward of operating funds. In most cases, any outstanding credit balances at year end will be funded from a department’s remaining available operating non-salary funds before consideration in the carry forward process. </w:t>
      </w:r>
    </w:p>
    <w:p w:rsidR="00660D91" w:rsidRPr="00A2166F" w:rsidRDefault="00660D91" w:rsidP="00303CC3">
      <w:pPr>
        <w:autoSpaceDE w:val="0"/>
        <w:autoSpaceDN w:val="0"/>
        <w:adjustRightInd w:val="0"/>
        <w:spacing w:after="0" w:line="240" w:lineRule="auto"/>
        <w:rPr>
          <w:rFonts w:ascii="Garamond" w:hAnsi="Garamond" w:cs="TimesNewRomanPSMT"/>
          <w:color w:val="000000"/>
          <w:sz w:val="28"/>
          <w:szCs w:val="28"/>
        </w:rPr>
      </w:pPr>
    </w:p>
    <w:p w:rsidR="003E1F9D" w:rsidRPr="00A2166F" w:rsidRDefault="003E1F9D" w:rsidP="003E1F9D">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Accountability</w:t>
      </w:r>
    </w:p>
    <w:p w:rsidR="003E1F9D" w:rsidRPr="00A2166F" w:rsidRDefault="003E1F9D" w:rsidP="003E1F9D">
      <w:pPr>
        <w:autoSpaceDE w:val="0"/>
        <w:autoSpaceDN w:val="0"/>
        <w:adjustRightInd w:val="0"/>
        <w:spacing w:after="0" w:line="240" w:lineRule="auto"/>
        <w:rPr>
          <w:rFonts w:ascii="Garamond" w:hAnsi="Garamond" w:cs="Verdana"/>
          <w:color w:val="000000"/>
          <w:sz w:val="28"/>
          <w:szCs w:val="28"/>
        </w:rPr>
      </w:pPr>
      <w:r w:rsidRPr="00A2166F">
        <w:rPr>
          <w:rFonts w:ascii="Garamond" w:hAnsi="Garamond" w:cs="Verdana"/>
          <w:color w:val="000000"/>
          <w:sz w:val="28"/>
          <w:szCs w:val="28"/>
        </w:rPr>
        <w:t>Vice Presidents and Deans have budget responsibility for their division or college. The</w:t>
      </w:r>
      <w:r w:rsidR="003B4E7B" w:rsidRPr="00A2166F">
        <w:rPr>
          <w:rFonts w:ascii="Garamond" w:hAnsi="Garamond" w:cs="Verdana"/>
          <w:color w:val="000000"/>
          <w:sz w:val="28"/>
          <w:szCs w:val="28"/>
        </w:rPr>
        <w:t xml:space="preserve"> </w:t>
      </w:r>
      <w:r w:rsidRPr="00A2166F">
        <w:rPr>
          <w:rFonts w:ascii="Garamond" w:hAnsi="Garamond" w:cs="Verdana"/>
          <w:bCs/>
          <w:color w:val="000000"/>
          <w:sz w:val="28"/>
          <w:szCs w:val="28"/>
        </w:rPr>
        <w:t xml:space="preserve">department manager </w:t>
      </w:r>
      <w:r w:rsidRPr="00A2166F">
        <w:rPr>
          <w:rFonts w:ascii="Garamond" w:hAnsi="Garamond" w:cs="Verdana"/>
          <w:color w:val="000000"/>
          <w:sz w:val="28"/>
          <w:szCs w:val="28"/>
        </w:rPr>
        <w:t>is responsible for budget management and purchasing approval of</w:t>
      </w:r>
      <w:r w:rsidR="003B4E7B" w:rsidRPr="00A2166F">
        <w:rPr>
          <w:rFonts w:ascii="Garamond" w:hAnsi="Garamond" w:cs="Verdana"/>
          <w:color w:val="000000"/>
          <w:sz w:val="28"/>
          <w:szCs w:val="28"/>
        </w:rPr>
        <w:t xml:space="preserve"> </w:t>
      </w:r>
      <w:r w:rsidRPr="00A2166F">
        <w:rPr>
          <w:rFonts w:ascii="Garamond" w:hAnsi="Garamond" w:cs="Verdana"/>
          <w:color w:val="000000"/>
          <w:sz w:val="28"/>
          <w:szCs w:val="28"/>
        </w:rPr>
        <w:t xml:space="preserve">one or more specific </w:t>
      </w:r>
      <w:r w:rsidR="00F70C26" w:rsidRPr="00A2166F">
        <w:rPr>
          <w:rFonts w:ascii="Garamond" w:hAnsi="Garamond" w:cs="Verdana"/>
          <w:color w:val="000000"/>
          <w:sz w:val="28"/>
          <w:szCs w:val="28"/>
        </w:rPr>
        <w:t xml:space="preserve">Peoplesoft </w:t>
      </w:r>
      <w:r w:rsidRPr="00A2166F">
        <w:rPr>
          <w:rFonts w:ascii="Garamond" w:hAnsi="Garamond" w:cs="Verdana"/>
          <w:color w:val="000000"/>
          <w:sz w:val="28"/>
          <w:szCs w:val="28"/>
        </w:rPr>
        <w:t>Dep</w:t>
      </w:r>
      <w:r w:rsidR="00F70C26" w:rsidRPr="00A2166F">
        <w:rPr>
          <w:rFonts w:ascii="Garamond" w:hAnsi="Garamond" w:cs="Verdana"/>
          <w:color w:val="000000"/>
          <w:sz w:val="28"/>
          <w:szCs w:val="28"/>
        </w:rPr>
        <w:t>t</w:t>
      </w:r>
      <w:r w:rsidRPr="00A2166F">
        <w:rPr>
          <w:rFonts w:ascii="Garamond" w:hAnsi="Garamond" w:cs="Verdana"/>
          <w:color w:val="000000"/>
          <w:sz w:val="28"/>
          <w:szCs w:val="28"/>
        </w:rPr>
        <w:t xml:space="preserve"> IDs</w:t>
      </w:r>
      <w:r w:rsidR="00F70C26" w:rsidRPr="00A2166F">
        <w:rPr>
          <w:rFonts w:ascii="Garamond" w:hAnsi="Garamond" w:cs="Verdana"/>
          <w:color w:val="000000"/>
          <w:sz w:val="28"/>
          <w:szCs w:val="28"/>
        </w:rPr>
        <w:t xml:space="preserve"> or Cost Center</w:t>
      </w:r>
      <w:r w:rsidRPr="00A2166F">
        <w:rPr>
          <w:rFonts w:ascii="Garamond" w:hAnsi="Garamond" w:cs="Verdana"/>
          <w:color w:val="000000"/>
          <w:sz w:val="28"/>
          <w:szCs w:val="28"/>
        </w:rPr>
        <w:t>.</w:t>
      </w:r>
      <w:r w:rsidR="003B4E7B" w:rsidRPr="00A2166F">
        <w:rPr>
          <w:rFonts w:ascii="Garamond" w:hAnsi="Garamond" w:cs="Verdana"/>
          <w:color w:val="000000"/>
          <w:sz w:val="28"/>
          <w:szCs w:val="28"/>
        </w:rPr>
        <w:t xml:space="preserve"> </w:t>
      </w:r>
      <w:r w:rsidRPr="00A2166F">
        <w:rPr>
          <w:rFonts w:ascii="Garamond" w:hAnsi="Garamond" w:cs="Verdana"/>
          <w:color w:val="000000"/>
          <w:sz w:val="28"/>
          <w:szCs w:val="28"/>
        </w:rPr>
        <w:t>These employees are accountable for financial performance against their budget, and must</w:t>
      </w:r>
      <w:r w:rsidR="003B4E7B" w:rsidRPr="00A2166F">
        <w:rPr>
          <w:rFonts w:ascii="Garamond" w:hAnsi="Garamond" w:cs="Verdana"/>
          <w:color w:val="000000"/>
          <w:sz w:val="28"/>
          <w:szCs w:val="28"/>
        </w:rPr>
        <w:t xml:space="preserve"> </w:t>
      </w:r>
      <w:r w:rsidRPr="00A2166F">
        <w:rPr>
          <w:rFonts w:ascii="Garamond" w:hAnsi="Garamond" w:cs="Verdana"/>
          <w:color w:val="000000"/>
          <w:sz w:val="28"/>
          <w:szCs w:val="28"/>
        </w:rPr>
        <w:t xml:space="preserve">follow </w:t>
      </w:r>
      <w:r w:rsidR="00F70C26" w:rsidRPr="00A2166F">
        <w:rPr>
          <w:rFonts w:ascii="Garamond" w:hAnsi="Garamond" w:cs="Verdana"/>
          <w:color w:val="000000"/>
          <w:sz w:val="28"/>
          <w:szCs w:val="28"/>
        </w:rPr>
        <w:t xml:space="preserve">College </w:t>
      </w:r>
      <w:r w:rsidRPr="00A2166F">
        <w:rPr>
          <w:rFonts w:ascii="Garamond" w:hAnsi="Garamond" w:cs="Verdana"/>
          <w:color w:val="000000"/>
          <w:sz w:val="28"/>
          <w:szCs w:val="28"/>
        </w:rPr>
        <w:t>policies.</w:t>
      </w:r>
    </w:p>
    <w:p w:rsidR="00CA217B" w:rsidRPr="00A2166F" w:rsidRDefault="00CA217B" w:rsidP="003E1F9D">
      <w:pPr>
        <w:autoSpaceDE w:val="0"/>
        <w:autoSpaceDN w:val="0"/>
        <w:adjustRightInd w:val="0"/>
        <w:spacing w:after="0" w:line="240" w:lineRule="auto"/>
        <w:rPr>
          <w:rFonts w:ascii="Garamond" w:hAnsi="Garamond" w:cs="Verdana"/>
          <w:b/>
          <w:bCs/>
          <w:color w:val="002060"/>
          <w:sz w:val="28"/>
          <w:szCs w:val="28"/>
        </w:rPr>
      </w:pPr>
    </w:p>
    <w:p w:rsidR="006D653E" w:rsidRPr="00A2166F" w:rsidRDefault="006D653E" w:rsidP="003E1F9D">
      <w:pPr>
        <w:autoSpaceDE w:val="0"/>
        <w:autoSpaceDN w:val="0"/>
        <w:adjustRightInd w:val="0"/>
        <w:spacing w:after="0" w:line="240" w:lineRule="auto"/>
        <w:rPr>
          <w:rFonts w:ascii="Garamond" w:hAnsi="Garamond" w:cs="Verdana"/>
          <w:b/>
          <w:bCs/>
          <w:color w:val="002060"/>
          <w:sz w:val="28"/>
          <w:szCs w:val="28"/>
        </w:rPr>
      </w:pPr>
    </w:p>
    <w:p w:rsidR="006D653E" w:rsidRPr="00A2166F" w:rsidRDefault="006D653E" w:rsidP="003E1F9D">
      <w:pPr>
        <w:autoSpaceDE w:val="0"/>
        <w:autoSpaceDN w:val="0"/>
        <w:adjustRightInd w:val="0"/>
        <w:spacing w:after="0" w:line="240" w:lineRule="auto"/>
        <w:rPr>
          <w:rFonts w:ascii="Garamond" w:hAnsi="Garamond" w:cs="Verdana"/>
          <w:b/>
          <w:bCs/>
          <w:color w:val="002060"/>
          <w:sz w:val="28"/>
          <w:szCs w:val="28"/>
        </w:rPr>
      </w:pPr>
    </w:p>
    <w:p w:rsidR="006D653E" w:rsidRPr="00A2166F" w:rsidRDefault="006D653E" w:rsidP="003E1F9D">
      <w:pPr>
        <w:autoSpaceDE w:val="0"/>
        <w:autoSpaceDN w:val="0"/>
        <w:adjustRightInd w:val="0"/>
        <w:spacing w:after="0" w:line="240" w:lineRule="auto"/>
        <w:rPr>
          <w:rFonts w:ascii="Garamond" w:hAnsi="Garamond" w:cs="Verdana"/>
          <w:b/>
          <w:bCs/>
          <w:color w:val="002060"/>
          <w:sz w:val="28"/>
          <w:szCs w:val="28"/>
        </w:rPr>
      </w:pPr>
    </w:p>
    <w:p w:rsidR="006D653E" w:rsidRPr="00A2166F" w:rsidRDefault="006D653E" w:rsidP="003E1F9D">
      <w:pPr>
        <w:autoSpaceDE w:val="0"/>
        <w:autoSpaceDN w:val="0"/>
        <w:adjustRightInd w:val="0"/>
        <w:spacing w:after="0" w:line="240" w:lineRule="auto"/>
        <w:rPr>
          <w:rFonts w:ascii="Garamond" w:hAnsi="Garamond" w:cs="Verdana"/>
          <w:b/>
          <w:bCs/>
          <w:color w:val="002060"/>
          <w:sz w:val="28"/>
          <w:szCs w:val="28"/>
        </w:rPr>
      </w:pPr>
    </w:p>
    <w:p w:rsidR="006D653E" w:rsidRDefault="006D653E" w:rsidP="003E1F9D">
      <w:pPr>
        <w:autoSpaceDE w:val="0"/>
        <w:autoSpaceDN w:val="0"/>
        <w:adjustRightInd w:val="0"/>
        <w:spacing w:after="0" w:line="240" w:lineRule="auto"/>
        <w:rPr>
          <w:rFonts w:ascii="Garamond" w:hAnsi="Garamond" w:cs="Verdana"/>
          <w:b/>
          <w:bCs/>
          <w:color w:val="002060"/>
          <w:sz w:val="28"/>
          <w:szCs w:val="28"/>
        </w:rPr>
      </w:pPr>
    </w:p>
    <w:p w:rsidR="00A5622C" w:rsidRPr="00A2166F" w:rsidRDefault="00A5622C" w:rsidP="003E1F9D">
      <w:pPr>
        <w:autoSpaceDE w:val="0"/>
        <w:autoSpaceDN w:val="0"/>
        <w:adjustRightInd w:val="0"/>
        <w:spacing w:after="0" w:line="240" w:lineRule="auto"/>
        <w:rPr>
          <w:rFonts w:ascii="Garamond" w:hAnsi="Garamond" w:cs="Verdana"/>
          <w:b/>
          <w:bCs/>
          <w:color w:val="002060"/>
          <w:sz w:val="28"/>
          <w:szCs w:val="28"/>
        </w:rPr>
      </w:pPr>
    </w:p>
    <w:p w:rsidR="003E1F9D" w:rsidRPr="00A2166F" w:rsidRDefault="00F70C26" w:rsidP="003E1F9D">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b/>
          <w:bCs/>
          <w:color w:val="002060"/>
          <w:sz w:val="28"/>
          <w:szCs w:val="28"/>
        </w:rPr>
        <w:t>Budget Monitoring</w:t>
      </w:r>
      <w:r w:rsidR="00845E8C" w:rsidRPr="00A2166F">
        <w:rPr>
          <w:rFonts w:ascii="Garamond" w:hAnsi="Garamond" w:cs="Verdana"/>
          <w:b/>
          <w:bCs/>
          <w:color w:val="002060"/>
          <w:sz w:val="28"/>
          <w:szCs w:val="28"/>
        </w:rPr>
        <w:t xml:space="preserve"> Tool</w:t>
      </w:r>
    </w:p>
    <w:p w:rsidR="00CA217B" w:rsidRPr="00A2166F" w:rsidRDefault="00F70C26" w:rsidP="003E1F9D">
      <w:pPr>
        <w:autoSpaceDE w:val="0"/>
        <w:autoSpaceDN w:val="0"/>
        <w:adjustRightInd w:val="0"/>
        <w:spacing w:after="0" w:line="240" w:lineRule="auto"/>
        <w:rPr>
          <w:rFonts w:ascii="Garamond" w:hAnsi="Garamond" w:cs="Verdana"/>
          <w:b/>
          <w:bCs/>
          <w:color w:val="002060"/>
          <w:sz w:val="28"/>
          <w:szCs w:val="28"/>
        </w:rPr>
      </w:pPr>
      <w:r w:rsidRPr="00A2166F">
        <w:rPr>
          <w:rFonts w:ascii="Garamond" w:hAnsi="Garamond" w:cs="Verdana"/>
          <w:color w:val="000000"/>
          <w:sz w:val="28"/>
          <w:szCs w:val="28"/>
        </w:rPr>
        <w:t xml:space="preserve">The financial web reports </w:t>
      </w:r>
      <w:r w:rsidR="003E1F9D" w:rsidRPr="00A2166F">
        <w:rPr>
          <w:rFonts w:ascii="Garamond" w:hAnsi="Garamond" w:cs="Verdana"/>
          <w:color w:val="000000"/>
          <w:sz w:val="28"/>
          <w:szCs w:val="28"/>
        </w:rPr>
        <w:t xml:space="preserve">provide Budget Overview </w:t>
      </w:r>
      <w:r w:rsidR="00BA5C12" w:rsidRPr="00A2166F">
        <w:rPr>
          <w:rFonts w:ascii="Garamond" w:hAnsi="Garamond" w:cs="Verdana"/>
          <w:color w:val="000000"/>
          <w:sz w:val="28"/>
          <w:szCs w:val="28"/>
        </w:rPr>
        <w:t xml:space="preserve">by Schools/Divisions, </w:t>
      </w:r>
      <w:r w:rsidR="003E1F9D" w:rsidRPr="00A2166F">
        <w:rPr>
          <w:rFonts w:ascii="Garamond" w:hAnsi="Garamond" w:cs="Verdana"/>
          <w:color w:val="000000"/>
          <w:sz w:val="28"/>
          <w:szCs w:val="28"/>
        </w:rPr>
        <w:t xml:space="preserve">as well as </w:t>
      </w:r>
      <w:r w:rsidR="00BA5C12" w:rsidRPr="00A2166F">
        <w:rPr>
          <w:rFonts w:ascii="Garamond" w:hAnsi="Garamond" w:cs="Verdana"/>
          <w:color w:val="000000"/>
          <w:sz w:val="28"/>
          <w:szCs w:val="28"/>
        </w:rPr>
        <w:t>d</w:t>
      </w:r>
      <w:r w:rsidR="003E1F9D" w:rsidRPr="00A2166F">
        <w:rPr>
          <w:rFonts w:ascii="Garamond" w:hAnsi="Garamond" w:cs="Verdana"/>
          <w:color w:val="000000"/>
          <w:sz w:val="28"/>
          <w:szCs w:val="28"/>
        </w:rPr>
        <w:t xml:space="preserve">epartment budgets vs. actuals </w:t>
      </w:r>
      <w:r w:rsidR="00BA5C12" w:rsidRPr="00A2166F">
        <w:rPr>
          <w:rFonts w:ascii="Garamond" w:hAnsi="Garamond" w:cs="Verdana"/>
          <w:color w:val="000000"/>
          <w:sz w:val="28"/>
          <w:szCs w:val="28"/>
        </w:rPr>
        <w:t xml:space="preserve">with </w:t>
      </w:r>
      <w:r w:rsidR="00845E8C" w:rsidRPr="00A2166F">
        <w:rPr>
          <w:rFonts w:ascii="Garamond" w:hAnsi="Garamond" w:cs="Verdana"/>
          <w:color w:val="000000"/>
          <w:sz w:val="28"/>
          <w:szCs w:val="28"/>
        </w:rPr>
        <w:t xml:space="preserve">various </w:t>
      </w:r>
      <w:r w:rsidR="00BA5C12" w:rsidRPr="00A2166F">
        <w:rPr>
          <w:rFonts w:ascii="Garamond" w:hAnsi="Garamond" w:cs="Verdana"/>
          <w:color w:val="000000"/>
          <w:sz w:val="28"/>
          <w:szCs w:val="28"/>
        </w:rPr>
        <w:t>drilldown capabilities to the detail transaction level. The financial web report system gets refresh on a nightly basis</w:t>
      </w:r>
      <w:r w:rsidR="003E1F9D" w:rsidRPr="00A2166F">
        <w:rPr>
          <w:rFonts w:ascii="Garamond" w:hAnsi="Garamond" w:cs="Verdana"/>
          <w:color w:val="000000"/>
          <w:sz w:val="28"/>
          <w:szCs w:val="28"/>
        </w:rPr>
        <w:t>.</w:t>
      </w:r>
      <w:r w:rsidR="00BA5C12" w:rsidRPr="00A2166F">
        <w:rPr>
          <w:rFonts w:ascii="Garamond" w:hAnsi="Garamond" w:cs="Verdana"/>
          <w:color w:val="000000"/>
          <w:sz w:val="28"/>
          <w:szCs w:val="28"/>
        </w:rPr>
        <w:t xml:space="preserve">  All budget users have security access to view the</w:t>
      </w:r>
      <w:r w:rsidR="00845E8C" w:rsidRPr="00A2166F">
        <w:rPr>
          <w:rFonts w:ascii="Garamond" w:hAnsi="Garamond" w:cs="Verdana"/>
          <w:color w:val="000000"/>
          <w:sz w:val="28"/>
          <w:szCs w:val="28"/>
        </w:rPr>
        <w:t>ir</w:t>
      </w:r>
      <w:r w:rsidR="00BA5C12" w:rsidRPr="00A2166F">
        <w:rPr>
          <w:rFonts w:ascii="Garamond" w:hAnsi="Garamond" w:cs="Verdana"/>
          <w:color w:val="000000"/>
          <w:sz w:val="28"/>
          <w:szCs w:val="28"/>
        </w:rPr>
        <w:t xml:space="preserve"> </w:t>
      </w:r>
      <w:r w:rsidR="00845E8C" w:rsidRPr="00A2166F">
        <w:rPr>
          <w:rFonts w:ascii="Garamond" w:hAnsi="Garamond" w:cs="Verdana"/>
          <w:color w:val="000000"/>
          <w:sz w:val="28"/>
          <w:szCs w:val="28"/>
        </w:rPr>
        <w:t>department budget</w:t>
      </w:r>
      <w:r w:rsidR="00BA5C12" w:rsidRPr="00A2166F">
        <w:rPr>
          <w:rFonts w:ascii="Garamond" w:hAnsi="Garamond" w:cs="Verdana"/>
          <w:color w:val="000000"/>
          <w:sz w:val="28"/>
          <w:szCs w:val="28"/>
        </w:rPr>
        <w:t xml:space="preserve"> reports</w:t>
      </w:r>
      <w:r w:rsidR="00845E8C" w:rsidRPr="00A2166F">
        <w:rPr>
          <w:rFonts w:ascii="Garamond" w:hAnsi="Garamond" w:cs="Verdana"/>
          <w:color w:val="000000"/>
          <w:sz w:val="28"/>
          <w:szCs w:val="28"/>
        </w:rPr>
        <w:t xml:space="preserve"> - </w:t>
      </w:r>
      <w:hyperlink r:id="rId13" w:history="1">
        <w:r w:rsidR="00845E8C" w:rsidRPr="00A2166F">
          <w:rPr>
            <w:rStyle w:val="Hyperlink"/>
            <w:rFonts w:ascii="Garamond" w:hAnsi="Garamond" w:cs="Verdana"/>
            <w:b/>
            <w:bCs/>
            <w:sz w:val="28"/>
            <w:szCs w:val="28"/>
          </w:rPr>
          <w:t>https://finance.tcnj.edu/financial-web-report-access/</w:t>
        </w:r>
      </w:hyperlink>
    </w:p>
    <w:p w:rsidR="00C60132" w:rsidRDefault="00C60132" w:rsidP="002543D8">
      <w:pPr>
        <w:autoSpaceDE w:val="0"/>
        <w:autoSpaceDN w:val="0"/>
        <w:adjustRightInd w:val="0"/>
        <w:spacing w:after="0" w:line="240" w:lineRule="auto"/>
        <w:rPr>
          <w:noProof/>
          <w:sz w:val="28"/>
          <w:szCs w:val="28"/>
        </w:rPr>
      </w:pPr>
    </w:p>
    <w:p w:rsidR="00F8481A" w:rsidRDefault="00F8481A" w:rsidP="002543D8">
      <w:pPr>
        <w:autoSpaceDE w:val="0"/>
        <w:autoSpaceDN w:val="0"/>
        <w:adjustRightInd w:val="0"/>
        <w:spacing w:after="0" w:line="240" w:lineRule="auto"/>
        <w:rPr>
          <w:noProof/>
          <w:sz w:val="28"/>
          <w:szCs w:val="28"/>
        </w:rPr>
      </w:pPr>
      <w:r w:rsidRPr="00A2166F">
        <w:rPr>
          <w:noProof/>
          <w:sz w:val="28"/>
          <w:szCs w:val="28"/>
        </w:rPr>
        <w:drawing>
          <wp:inline distT="0" distB="0" distL="0" distR="0" wp14:anchorId="2FE83DD8" wp14:editId="7B996739">
            <wp:extent cx="5914173" cy="3209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6923" cy="3286482"/>
                    </a:xfrm>
                    <a:prstGeom prst="rect">
                      <a:avLst/>
                    </a:prstGeom>
                  </pic:spPr>
                </pic:pic>
              </a:graphicData>
            </a:graphic>
          </wp:inline>
        </w:drawing>
      </w:r>
    </w:p>
    <w:p w:rsidR="00C60132" w:rsidRDefault="00C60132" w:rsidP="002543D8">
      <w:pPr>
        <w:autoSpaceDE w:val="0"/>
        <w:autoSpaceDN w:val="0"/>
        <w:adjustRightInd w:val="0"/>
        <w:spacing w:after="0" w:line="240" w:lineRule="auto"/>
        <w:rPr>
          <w:noProof/>
          <w:sz w:val="28"/>
          <w:szCs w:val="28"/>
        </w:rPr>
      </w:pPr>
    </w:p>
    <w:p w:rsidR="00C60132" w:rsidRDefault="00C60132" w:rsidP="002543D8">
      <w:pPr>
        <w:autoSpaceDE w:val="0"/>
        <w:autoSpaceDN w:val="0"/>
        <w:adjustRightInd w:val="0"/>
        <w:spacing w:after="0" w:line="240" w:lineRule="auto"/>
        <w:rPr>
          <w:noProof/>
          <w:sz w:val="28"/>
          <w:szCs w:val="28"/>
        </w:rPr>
      </w:pPr>
    </w:p>
    <w:p w:rsidR="00C60132" w:rsidRDefault="00C60132" w:rsidP="002543D8">
      <w:pPr>
        <w:autoSpaceDE w:val="0"/>
        <w:autoSpaceDN w:val="0"/>
        <w:adjustRightInd w:val="0"/>
        <w:spacing w:after="0" w:line="240" w:lineRule="auto"/>
        <w:rPr>
          <w:noProof/>
          <w:sz w:val="28"/>
          <w:szCs w:val="28"/>
        </w:rPr>
      </w:pPr>
    </w:p>
    <w:p w:rsidR="00C60132" w:rsidRDefault="00C60132" w:rsidP="002543D8">
      <w:pPr>
        <w:autoSpaceDE w:val="0"/>
        <w:autoSpaceDN w:val="0"/>
        <w:adjustRightInd w:val="0"/>
        <w:spacing w:after="0" w:line="240" w:lineRule="auto"/>
        <w:rPr>
          <w:noProof/>
          <w:sz w:val="28"/>
          <w:szCs w:val="28"/>
        </w:rPr>
      </w:pPr>
    </w:p>
    <w:p w:rsidR="00C60132" w:rsidRDefault="00C60132" w:rsidP="002543D8">
      <w:pPr>
        <w:autoSpaceDE w:val="0"/>
        <w:autoSpaceDN w:val="0"/>
        <w:adjustRightInd w:val="0"/>
        <w:spacing w:after="0" w:line="240" w:lineRule="auto"/>
        <w:rPr>
          <w:noProof/>
          <w:sz w:val="28"/>
          <w:szCs w:val="28"/>
        </w:rPr>
      </w:pPr>
    </w:p>
    <w:p w:rsidR="00C60132" w:rsidRDefault="00C60132" w:rsidP="002543D8">
      <w:pPr>
        <w:autoSpaceDE w:val="0"/>
        <w:autoSpaceDN w:val="0"/>
        <w:adjustRightInd w:val="0"/>
        <w:spacing w:after="0" w:line="240" w:lineRule="auto"/>
        <w:rPr>
          <w:noProof/>
          <w:sz w:val="28"/>
          <w:szCs w:val="28"/>
        </w:rPr>
      </w:pPr>
    </w:p>
    <w:sectPr w:rsidR="00C601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02" w:rsidRDefault="00B71A02" w:rsidP="00C84012">
      <w:pPr>
        <w:spacing w:after="0" w:line="240" w:lineRule="auto"/>
      </w:pPr>
      <w:r>
        <w:separator/>
      </w:r>
    </w:p>
  </w:endnote>
  <w:endnote w:type="continuationSeparator" w:id="0">
    <w:p w:rsidR="00B71A02" w:rsidRDefault="00B71A02" w:rsidP="00C8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1A" w:rsidRDefault="00F8481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C152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C152D">
      <w:rPr>
        <w:noProof/>
        <w:color w:val="323E4F" w:themeColor="text2" w:themeShade="BF"/>
        <w:sz w:val="24"/>
        <w:szCs w:val="24"/>
      </w:rPr>
      <w:t>7</w:t>
    </w:r>
    <w:r>
      <w:rPr>
        <w:color w:val="323E4F" w:themeColor="text2" w:themeShade="BF"/>
        <w:sz w:val="24"/>
        <w:szCs w:val="24"/>
      </w:rPr>
      <w:fldChar w:fldCharType="end"/>
    </w:r>
  </w:p>
  <w:p w:rsidR="00C84012" w:rsidRDefault="00C8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02" w:rsidRDefault="00B71A02" w:rsidP="00C84012">
      <w:pPr>
        <w:spacing w:after="0" w:line="240" w:lineRule="auto"/>
      </w:pPr>
      <w:r>
        <w:separator/>
      </w:r>
    </w:p>
  </w:footnote>
  <w:footnote w:type="continuationSeparator" w:id="0">
    <w:p w:rsidR="00B71A02" w:rsidRDefault="00B71A02" w:rsidP="00C8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1210"/>
    <w:multiLevelType w:val="hybridMultilevel"/>
    <w:tmpl w:val="385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7925"/>
    <w:multiLevelType w:val="hybridMultilevel"/>
    <w:tmpl w:val="39A2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83C25"/>
    <w:multiLevelType w:val="hybridMultilevel"/>
    <w:tmpl w:val="2DE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8062F"/>
    <w:multiLevelType w:val="hybridMultilevel"/>
    <w:tmpl w:val="D78C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613D5"/>
    <w:multiLevelType w:val="hybridMultilevel"/>
    <w:tmpl w:val="10723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E59E5"/>
    <w:multiLevelType w:val="hybridMultilevel"/>
    <w:tmpl w:val="ED0EC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A1CF4"/>
    <w:multiLevelType w:val="hybridMultilevel"/>
    <w:tmpl w:val="F5B0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3C7762"/>
    <w:multiLevelType w:val="hybridMultilevel"/>
    <w:tmpl w:val="236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F16C0"/>
    <w:multiLevelType w:val="hybridMultilevel"/>
    <w:tmpl w:val="EDE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25"/>
    <w:rsid w:val="00015E1E"/>
    <w:rsid w:val="00016DCD"/>
    <w:rsid w:val="00092C9C"/>
    <w:rsid w:val="000A4A5C"/>
    <w:rsid w:val="000B6AB7"/>
    <w:rsid w:val="000D254C"/>
    <w:rsid w:val="00112F5E"/>
    <w:rsid w:val="00142E39"/>
    <w:rsid w:val="001844C9"/>
    <w:rsid w:val="001B7EDC"/>
    <w:rsid w:val="001E4F8C"/>
    <w:rsid w:val="002543D8"/>
    <w:rsid w:val="002A17F6"/>
    <w:rsid w:val="002A3CA3"/>
    <w:rsid w:val="002A5FDB"/>
    <w:rsid w:val="002E0D3C"/>
    <w:rsid w:val="002E63BA"/>
    <w:rsid w:val="00303CC3"/>
    <w:rsid w:val="00337331"/>
    <w:rsid w:val="00343F75"/>
    <w:rsid w:val="003461BF"/>
    <w:rsid w:val="003758A8"/>
    <w:rsid w:val="003831CB"/>
    <w:rsid w:val="003A26B7"/>
    <w:rsid w:val="003B4E7B"/>
    <w:rsid w:val="003D5019"/>
    <w:rsid w:val="003E1F9D"/>
    <w:rsid w:val="003E4099"/>
    <w:rsid w:val="0041230C"/>
    <w:rsid w:val="00424C75"/>
    <w:rsid w:val="00433CFD"/>
    <w:rsid w:val="00442876"/>
    <w:rsid w:val="004746E3"/>
    <w:rsid w:val="00493CBE"/>
    <w:rsid w:val="00514507"/>
    <w:rsid w:val="00533C49"/>
    <w:rsid w:val="00541C99"/>
    <w:rsid w:val="005427E7"/>
    <w:rsid w:val="00555003"/>
    <w:rsid w:val="005627F7"/>
    <w:rsid w:val="00582163"/>
    <w:rsid w:val="005D60F0"/>
    <w:rsid w:val="00617968"/>
    <w:rsid w:val="00657474"/>
    <w:rsid w:val="00660D91"/>
    <w:rsid w:val="00682746"/>
    <w:rsid w:val="006948A2"/>
    <w:rsid w:val="006D0D22"/>
    <w:rsid w:val="006D634E"/>
    <w:rsid w:val="006D653E"/>
    <w:rsid w:val="006F1DE5"/>
    <w:rsid w:val="007034C3"/>
    <w:rsid w:val="00720DB7"/>
    <w:rsid w:val="00727E84"/>
    <w:rsid w:val="00731FDC"/>
    <w:rsid w:val="00756D1C"/>
    <w:rsid w:val="00774307"/>
    <w:rsid w:val="0078179F"/>
    <w:rsid w:val="00823964"/>
    <w:rsid w:val="00845E8C"/>
    <w:rsid w:val="0088237A"/>
    <w:rsid w:val="008864F1"/>
    <w:rsid w:val="00895F64"/>
    <w:rsid w:val="008B19D9"/>
    <w:rsid w:val="00901058"/>
    <w:rsid w:val="00925525"/>
    <w:rsid w:val="00944D8B"/>
    <w:rsid w:val="00953201"/>
    <w:rsid w:val="00971242"/>
    <w:rsid w:val="00A16A6A"/>
    <w:rsid w:val="00A2166F"/>
    <w:rsid w:val="00A40987"/>
    <w:rsid w:val="00A5622C"/>
    <w:rsid w:val="00A643E2"/>
    <w:rsid w:val="00A964B8"/>
    <w:rsid w:val="00AA08D0"/>
    <w:rsid w:val="00AD4E01"/>
    <w:rsid w:val="00AD72A0"/>
    <w:rsid w:val="00AF3348"/>
    <w:rsid w:val="00B24EBD"/>
    <w:rsid w:val="00B358D3"/>
    <w:rsid w:val="00B42643"/>
    <w:rsid w:val="00B71A02"/>
    <w:rsid w:val="00B91D37"/>
    <w:rsid w:val="00B95344"/>
    <w:rsid w:val="00BA5C12"/>
    <w:rsid w:val="00BA5D0E"/>
    <w:rsid w:val="00C11704"/>
    <w:rsid w:val="00C60132"/>
    <w:rsid w:val="00C81B42"/>
    <w:rsid w:val="00C834C5"/>
    <w:rsid w:val="00C84012"/>
    <w:rsid w:val="00CA217B"/>
    <w:rsid w:val="00CB4188"/>
    <w:rsid w:val="00D02E3D"/>
    <w:rsid w:val="00D132A0"/>
    <w:rsid w:val="00D73EA9"/>
    <w:rsid w:val="00D853EE"/>
    <w:rsid w:val="00D90C20"/>
    <w:rsid w:val="00DA2ADC"/>
    <w:rsid w:val="00DB2894"/>
    <w:rsid w:val="00DE3061"/>
    <w:rsid w:val="00E16E6D"/>
    <w:rsid w:val="00E56A57"/>
    <w:rsid w:val="00E57654"/>
    <w:rsid w:val="00EE2D24"/>
    <w:rsid w:val="00EE4C12"/>
    <w:rsid w:val="00F05420"/>
    <w:rsid w:val="00F1680A"/>
    <w:rsid w:val="00F23FEB"/>
    <w:rsid w:val="00F42F3F"/>
    <w:rsid w:val="00F70C26"/>
    <w:rsid w:val="00F73F51"/>
    <w:rsid w:val="00F8481A"/>
    <w:rsid w:val="00F9733C"/>
    <w:rsid w:val="00FA22FD"/>
    <w:rsid w:val="00FA7236"/>
    <w:rsid w:val="00FB42A4"/>
    <w:rsid w:val="00FC152D"/>
    <w:rsid w:val="00FD1250"/>
    <w:rsid w:val="00FF31F4"/>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FEE5-1F70-466C-A473-B4F91C7F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A0"/>
    <w:pPr>
      <w:ind w:left="720"/>
      <w:contextualSpacing/>
    </w:pPr>
  </w:style>
  <w:style w:type="character" w:styleId="Hyperlink">
    <w:name w:val="Hyperlink"/>
    <w:basedOn w:val="DefaultParagraphFont"/>
    <w:uiPriority w:val="99"/>
    <w:unhideWhenUsed/>
    <w:rsid w:val="00493CBE"/>
    <w:rPr>
      <w:color w:val="0563C1" w:themeColor="hyperlink"/>
      <w:u w:val="single"/>
    </w:rPr>
  </w:style>
  <w:style w:type="paragraph" w:styleId="Header">
    <w:name w:val="header"/>
    <w:basedOn w:val="Normal"/>
    <w:link w:val="HeaderChar"/>
    <w:uiPriority w:val="99"/>
    <w:unhideWhenUsed/>
    <w:rsid w:val="00C8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012"/>
  </w:style>
  <w:style w:type="paragraph" w:styleId="Footer">
    <w:name w:val="footer"/>
    <w:basedOn w:val="Normal"/>
    <w:link w:val="FooterChar"/>
    <w:uiPriority w:val="99"/>
    <w:unhideWhenUsed/>
    <w:rsid w:val="00C8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012"/>
  </w:style>
  <w:style w:type="character" w:styleId="FollowedHyperlink">
    <w:name w:val="FollowedHyperlink"/>
    <w:basedOn w:val="DefaultParagraphFont"/>
    <w:uiPriority w:val="99"/>
    <w:semiHidden/>
    <w:unhideWhenUsed/>
    <w:rsid w:val="00433CFD"/>
    <w:rPr>
      <w:color w:val="954F72" w:themeColor="followedHyperlink"/>
      <w:u w:val="single"/>
    </w:rPr>
  </w:style>
  <w:style w:type="character" w:customStyle="1" w:styleId="UnresolvedMention1">
    <w:name w:val="Unresolved Mention1"/>
    <w:basedOn w:val="DefaultParagraphFont"/>
    <w:uiPriority w:val="99"/>
    <w:semiHidden/>
    <w:unhideWhenUsed/>
    <w:rsid w:val="00E5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er.tcnj.edu/wp-content/uploads/sites/90/2018/09/TCNJ-Budget-timeline-Aug-2018-PDF-1.pdf" TargetMode="External"/><Relationship Id="rId13" Type="http://schemas.openxmlformats.org/officeDocument/2006/relationships/hyperlink" Target="https://finance.tcnj.edu/financial-web-report-acc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accounts.tcnj.edu/wp-content/uploads/sites/77/2017/07/Description-of-Mandatory-Fees-July-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surer.tcnj.edu/wp-content/uploads/sites/90/2017/05/Statement-of-Principl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udentaccounts.tcnj.edu/tuition-fees/" TargetMode="External"/><Relationship Id="rId4" Type="http://schemas.openxmlformats.org/officeDocument/2006/relationships/webSettings" Target="webSettings.xml"/><Relationship Id="rId9" Type="http://schemas.openxmlformats.org/officeDocument/2006/relationships/hyperlink" Target="http://treasurer.tcnj.edu/wp-content/uploads/sites/90/2019/02/FY2020-Campus-Budget-Communic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Ricketts</dc:creator>
  <cp:keywords/>
  <dc:description/>
  <cp:lastModifiedBy>Devon Manfredo</cp:lastModifiedBy>
  <cp:revision>2</cp:revision>
  <cp:lastPrinted>2019-03-06T16:04:00Z</cp:lastPrinted>
  <dcterms:created xsi:type="dcterms:W3CDTF">2021-10-04T18:08:00Z</dcterms:created>
  <dcterms:modified xsi:type="dcterms:W3CDTF">2021-10-04T18:08:00Z</dcterms:modified>
</cp:coreProperties>
</file>